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sdt>
      <w:sdtPr>
        <w:rPr>
          <w:rFonts w:ascii="Times New Roman" w:hAnsi="Times New Roman" w:cs="Times New Roman"/>
          <w:sz w:val="40"/>
          <w:lang w:eastAsia="en-GB"/>
        </w:rPr>
        <w:id w:val="165686190"/>
        <w:docPartObj>
          <w:docPartGallery w:val="Cover Pages"/>
          <w:docPartUnique/>
        </w:docPartObj>
      </w:sdtPr>
      <w:sdtEndPr/>
      <w:sdtContent>
        <w:p w14:paraId="04681348" w14:textId="77777777" w:rsidR="006269A0" w:rsidRPr="00621DD2" w:rsidRDefault="00621DD2" w:rsidP="00E912E4">
          <w:pPr>
            <w:jc w:val="both"/>
            <w:rPr>
              <w:sz w:val="40"/>
            </w:rPr>
          </w:pPr>
          <w:r w:rsidRPr="00621DD2">
            <w:rPr>
              <w:noProof/>
              <w:sz w:val="40"/>
              <w:lang w:eastAsia="en-GB"/>
            </w:rPr>
            <w:drawing>
              <wp:anchor distT="0" distB="0" distL="114300" distR="114300" simplePos="0" relativeHeight="251662336" behindDoc="0" locked="0" layoutInCell="1" allowOverlap="1" wp14:anchorId="1F3C2FA1" wp14:editId="62FC06A9">
                <wp:simplePos x="0" y="0"/>
                <wp:positionH relativeFrom="column">
                  <wp:posOffset>-634000</wp:posOffset>
                </wp:positionH>
                <wp:positionV relativeFrom="paragraph">
                  <wp:posOffset>-568852</wp:posOffset>
                </wp:positionV>
                <wp:extent cx="3200400" cy="12598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olutionJPEGfile02ai.jpg"/>
                        <pic:cNvPicPr/>
                      </pic:nvPicPr>
                      <pic:blipFill rotWithShape="1">
                        <a:blip r:embed="rId8" cstate="print">
                          <a:extLst>
                            <a:ext uri="{28A0092B-C50C-407E-A947-70E740481C1C}">
                              <a14:useLocalDpi xmlns:a14="http://schemas.microsoft.com/office/drawing/2010/main" val="0"/>
                            </a:ext>
                          </a:extLst>
                        </a:blip>
                        <a:srcRect l="13946" t="25424" r="14396" b="29448"/>
                        <a:stretch/>
                      </pic:blipFill>
                      <pic:spPr bwMode="auto">
                        <a:xfrm>
                          <a:off x="0" y="0"/>
                          <a:ext cx="3200400" cy="12598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p w14:paraId="27B85EF0" w14:textId="77777777" w:rsidR="00A97DCC" w:rsidRPr="0090250C" w:rsidRDefault="00417068" w:rsidP="0090250C">
          <w:pPr>
            <w:pStyle w:val="NormalWeb"/>
            <w:shd w:val="clear" w:color="auto" w:fill="FFFFFF"/>
            <w:spacing w:before="0" w:beforeAutospacing="0" w:after="240" w:afterAutospacing="0" w:line="360" w:lineRule="atLeast"/>
            <w:jc w:val="both"/>
            <w:rPr>
              <w:sz w:val="40"/>
            </w:rPr>
          </w:pPr>
          <w:r>
            <w:rPr>
              <w:noProof/>
              <w:sz w:val="40"/>
              <w:lang w:val="en-IN" w:eastAsia="en-IN"/>
            </w:rPr>
            <w:pict w14:anchorId="799863B2">
              <v:shapetype id="_x0000_t202" coordsize="21600,21600" o:spt="202" path="m0,0l0,21600,21600,21600,21600,0xe">
                <v:stroke joinstyle="miter"/>
                <v:path gradientshapeok="t" o:connecttype="rect"/>
              </v:shapetype>
              <v:shape id="Text_x0020_Box_x0020_131" o:spid="_x0000_s1026" type="#_x0000_t202" style="position:absolute;left:0;text-align:left;margin-left:22.2pt;margin-top:4in;width:422.8pt;height:135.2pt;z-index:251660288;visibility:visible;mso-wrap-distance-left:14.4pt;mso-wrap-distance-right:14.4pt;mso-position-horizontal-relative:margin;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KdAHYCAABXBQAADgAAAGRycy9lMm9Eb2MueG1srFRRT9swEH6ftP9g+X2khVG2ihR1IKZJCNBg&#10;4tl1bBrN8Xm226T79Xx2koLYXpj24lzuvjvffXfn07OuMWyrfKjJlnx6MOFMWUlVbR9L/uP+8sMn&#10;zkIUthKGrCr5TgV+tnj/7rR1c3VIazKV8gxBbJi3ruTrGN28KIJcq0aEA3LKwqjJNyLi1z8WlRct&#10;ojemOJxMZkVLvnKepAoB2oveyBc5vtZKxhutg4rMlBy5xXz6fK7SWSxOxfzRC7eu5ZCG+IcsGlFb&#10;XLoPdSGiYBtf/xGqqaWnQDoeSGoK0rqWKteAaqaTV9XcrYVTuRaQE9yepvD/wsrr7a1ndYXeHU05&#10;s6JBk+5VF9kX6ljSgaHWhTmAdw7Q2MEA9KgPUKbCO+2b9EVJDHZwvdvzm8JJKI+PZp+PZzBJ2KYn&#10;05PJx9yB4tnd+RC/KmpYEkru0cDMq9hehYhUAB0h6TZLl7UxuYnGsrbks6PjSXbYW+BhbMKqPA5D&#10;mFRSn3qW4s6ohDH2u9KgI1eQFHkQ1bnxbCswQkJKZWMuPscFOqE0kniL44B/zuotzn0d481k4965&#10;qS35XP2rtKufY8q6x4PIF3UnMXarbmj1iqodOu2p35bg5GWNblyJEG+Fx3qgg1j5eINDGwLrNEic&#10;rcn//ps+4TG1sHLWYt1KHn5thFecmW8W85x2cxT8KKxGwW6acwL9mFBkk0U4+GhGUXtqHvASLNMt&#10;MAkrcVfJ4yiex37p8ZJItVxmEDbQiXhl75xMoVM30mzddw/Cu2EAI2b3msZFFPNXc9hjk6el5SaS&#10;rvOQJkJ7Fgeisb15doeXJj0PL/8z6vk9XDwBAAD//wMAUEsDBBQABgAIAAAAIQAr4wEY3wAAAAoB&#10;AAAPAAAAZHJzL2Rvd25yZXYueG1sTI/NTsMwEITvSLyDtUjcqF1kQglxKsTPDQptQYKbEy9JRGxH&#10;tpOGt2c5wW1G+2l2pljPtmcThth5p2C5EMDQ1d50rlHwun84WwGLSTuje+9QwTdGWJfHR4XOjT+4&#10;LU671DAKcTHXCtqUhpzzWLdodVz4AR3dPn2wOpENDTdBHyjc9vxciIxb3Tn60OoBb1usv3ajVdC/&#10;x/BYifQx3TVP6eWZj2/3y41SpyfzzTWwhHP6g+G3PlWHkjpVfnQmsl6BlJJIBReXGW0iYHUlSFQk&#10;ZCaBlwX/P6H8AQAA//8DAFBLAQItABQABgAIAAAAIQDkmcPA+wAAAOEBAAATAAAAAAAAAAAAAAAA&#10;AAAAAABbQ29udGVudF9UeXBlc10ueG1sUEsBAi0AFAAGAAgAAAAhACOyauHXAAAAlAEAAAsAAAAA&#10;AAAAAAAAAAAALAEAAF9yZWxzLy5yZWxzUEsBAi0AFAAGAAgAAAAhAMOinQB2AgAAVwUAAA4AAAAA&#10;AAAAAAAAAAAALAIAAGRycy9lMm9Eb2MueG1sUEsBAi0AFAAGAAgAAAAhACvjARjfAAAACgEAAA8A&#10;AAAAAAAAAAAAAAAAzgQAAGRycy9kb3ducmV2LnhtbFBLBQYAAAAABAAEAPMAAADaBQAAAAA=&#10;" filled="f" stroked="f" strokeweight=".5pt">
                <v:textbox inset="0,0,0,0">
                  <w:txbxContent>
                    <w:sdt>
                      <w:sdtPr>
                        <w:rPr>
                          <w:caps/>
                          <w:color w:val="1F3864" w:themeColor="accent5" w:themeShade="80"/>
                          <w:sz w:val="64"/>
                          <w:szCs w:val="64"/>
                        </w:rPr>
                        <w:alias w:val="Subtitle"/>
                        <w:tag w:val=""/>
                        <w:id w:val="1671061488"/>
                        <w:dataBinding w:prefixMappings="xmlns:ns0='http://purl.org/dc/elements/1.1/' xmlns:ns1='http://schemas.openxmlformats.org/package/2006/metadata/core-properties' " w:xpath="/ns1:coreProperties[1]/ns0:subject[1]" w:storeItemID="{6C3C8BC8-F283-45AE-878A-BAB7291924A1}"/>
                        <w:text/>
                      </w:sdtPr>
                      <w:sdtEndPr/>
                      <w:sdtContent>
                        <w:p w14:paraId="6BF7945F" w14:textId="77777777" w:rsidR="00587EC9" w:rsidRPr="00E912E4" w:rsidRDefault="00587EC9" w:rsidP="00587EC9">
                          <w:pPr>
                            <w:pStyle w:val="NoSpacing"/>
                            <w:spacing w:before="40" w:after="40"/>
                            <w:rPr>
                              <w:caps/>
                              <w:color w:val="1F3864" w:themeColor="accent5" w:themeShade="80"/>
                              <w:sz w:val="64"/>
                              <w:szCs w:val="64"/>
                            </w:rPr>
                          </w:pPr>
                          <w:r w:rsidRPr="00E912E4">
                            <w:rPr>
                              <w:caps/>
                              <w:color w:val="1F3864" w:themeColor="accent5" w:themeShade="80"/>
                              <w:sz w:val="64"/>
                              <w:szCs w:val="64"/>
                            </w:rPr>
                            <w:t>DISCOUNT RATE ASSUMPTIONS</w:t>
                          </w:r>
                        </w:p>
                      </w:sdtContent>
                    </w:sdt>
                    <w:p w14:paraId="1403FAA6" w14:textId="77777777" w:rsidR="006269A0" w:rsidRDefault="007D0EE1" w:rsidP="00587EC9">
                      <w:pPr>
                        <w:pStyle w:val="NoSpacing"/>
                        <w:spacing w:before="40" w:after="40"/>
                        <w:rPr>
                          <w:caps/>
                          <w:color w:val="1F3864" w:themeColor="accent5" w:themeShade="80"/>
                          <w:sz w:val="36"/>
                          <w:szCs w:val="28"/>
                        </w:rPr>
                      </w:pPr>
                      <w:r>
                        <w:rPr>
                          <w:caps/>
                          <w:color w:val="1F3864" w:themeColor="accent5" w:themeShade="80"/>
                          <w:sz w:val="36"/>
                          <w:szCs w:val="28"/>
                        </w:rPr>
                        <w:t xml:space="preserve">APPLICABLE FOR: </w:t>
                      </w:r>
                      <w:r w:rsidRPr="00E912E4">
                        <w:rPr>
                          <w:caps/>
                          <w:color w:val="1F3864" w:themeColor="accent5" w:themeShade="80"/>
                          <w:sz w:val="40"/>
                          <w:szCs w:val="28"/>
                        </w:rPr>
                        <w:t>IND AS 19 and</w:t>
                      </w:r>
                      <w:r w:rsidR="00587EC9" w:rsidRPr="00E912E4">
                        <w:rPr>
                          <w:caps/>
                          <w:color w:val="1F3864" w:themeColor="accent5" w:themeShade="80"/>
                          <w:sz w:val="40"/>
                          <w:szCs w:val="28"/>
                        </w:rPr>
                        <w:t xml:space="preserve"> as – 15 (R)</w:t>
                      </w:r>
                    </w:p>
                    <w:p w14:paraId="77B368C6" w14:textId="77777777" w:rsidR="00587EC9" w:rsidRPr="00587EC9" w:rsidRDefault="00587EC9" w:rsidP="00587EC9">
                      <w:pPr>
                        <w:pStyle w:val="NoSpacing"/>
                        <w:spacing w:before="40" w:after="40"/>
                        <w:rPr>
                          <w:caps/>
                          <w:color w:val="1F3864" w:themeColor="accent5" w:themeShade="80"/>
                          <w:sz w:val="36"/>
                          <w:szCs w:val="28"/>
                        </w:rPr>
                      </w:pPr>
                    </w:p>
                    <w:sdt>
                      <w:sdtPr>
                        <w:rPr>
                          <w:caps/>
                          <w:color w:val="4472C4" w:themeColor="accent5"/>
                          <w:sz w:val="56"/>
                          <w:szCs w:val="24"/>
                          <w:vertAlign w:val="superscript"/>
                        </w:rPr>
                        <w:alias w:val="Author"/>
                        <w:tag w:val=""/>
                        <w:id w:val="-750043153"/>
                        <w:dataBinding w:prefixMappings="xmlns:ns0='http://purl.org/dc/elements/1.1/' xmlns:ns1='http://schemas.openxmlformats.org/package/2006/metadata/core-properties' " w:xpath="/ns1:coreProperties[1]/ns0:creator[1]" w:storeItemID="{6C3C8BC8-F283-45AE-878A-BAB7291924A1}"/>
                        <w:text/>
                      </w:sdtPr>
                      <w:sdtEndPr/>
                      <w:sdtContent>
                        <w:p w14:paraId="38C77628" w14:textId="77777777" w:rsidR="006269A0" w:rsidRDefault="004B107A">
                          <w:pPr>
                            <w:pStyle w:val="NoSpacing"/>
                            <w:spacing w:before="80" w:after="40"/>
                            <w:rPr>
                              <w:caps/>
                              <w:color w:val="4472C4" w:themeColor="accent5"/>
                              <w:sz w:val="56"/>
                              <w:szCs w:val="24"/>
                              <w:vertAlign w:val="superscript"/>
                            </w:rPr>
                          </w:pPr>
                          <w:r>
                            <w:rPr>
                              <w:caps/>
                              <w:color w:val="4472C4" w:themeColor="accent5"/>
                              <w:sz w:val="56"/>
                              <w:szCs w:val="24"/>
                              <w:vertAlign w:val="superscript"/>
                              <w:lang w:val="en-GB"/>
                            </w:rPr>
                            <w:t>as on 31st</w:t>
                          </w:r>
                          <w:r w:rsidR="00F63807">
                            <w:rPr>
                              <w:caps/>
                              <w:color w:val="4472C4" w:themeColor="accent5"/>
                              <w:sz w:val="56"/>
                              <w:szCs w:val="24"/>
                              <w:vertAlign w:val="superscript"/>
                              <w:lang w:val="en-GB"/>
                            </w:rPr>
                            <w:t xml:space="preserve"> DECEMBER </w:t>
                          </w:r>
                          <w:r w:rsidR="00FC083F" w:rsidRPr="004B107A">
                            <w:rPr>
                              <w:caps/>
                              <w:color w:val="4472C4" w:themeColor="accent5"/>
                              <w:sz w:val="56"/>
                              <w:szCs w:val="24"/>
                              <w:vertAlign w:val="superscript"/>
                              <w:lang w:val="en-GB"/>
                            </w:rPr>
                            <w:t>2017</w:t>
                          </w:r>
                        </w:p>
                      </w:sdtContent>
                    </w:sdt>
                  </w:txbxContent>
                </v:textbox>
                <w10:wrap type="square" anchorx="margin" anchory="page"/>
              </v:shape>
            </w:pict>
          </w:r>
          <w:r>
            <w:rPr>
              <w:noProof/>
              <w:sz w:val="40"/>
              <w:lang w:val="en-IN" w:eastAsia="en-IN"/>
            </w:rPr>
            <w:pict w14:anchorId="6635AFDA">
              <v:shape id="Text_x0020_Box_x0020_6" o:spid="_x0000_s1027" type="#_x0000_t202" style="position:absolute;left:0;text-align:left;margin-left:30.6pt;margin-top:389.95pt;width:279pt;height:116.8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kmXoCAABhBQAADgAAAGRycy9lMm9Eb2MueG1srFRNb9swDL0P2H8QdF+dr2ZdUKfIWnQYULTF&#10;mqFnRZYaY5KoSUzs7NeXkp0063bpsItNkY8U+Ujq/KK1hm1ViDW4kg9PBpwpJ6Gq3VPJvy+vP5xx&#10;FlG4ShhwquQ7FfnF/P2788bP1AjWYCoVGAVxcdb4kq8R/awoolwrK+IJeOXIqCFYgXQMT0UVREPR&#10;rSlGg8G0aCBUPoBUMZL2qjPyeY6vtZJ4p3VUyEzJKTfM35C/q/Qt5udi9hSEX9eyT0P8QxZW1I4u&#10;PYS6EijYJtR/hLK1DBBB44kEW4DWtVS5BqpmOHhVzcNaeJVrIXKiP9AU/19Yebu9D6yuSj7lzAlL&#10;LVqqFtlnaNk0sdP4OCPQgycYtqSmLu/1kZSp6FYHm/5UDiM78bw7cJuCSVKOTyfj8YBMkmzDydl4&#10;PM3sFy/uPkT8osCyJJQ8UPMyp2J7E5FSIegekm5zcF0bkxto3G8KAnYalSeg906VdBlnCXdGJS/j&#10;vilNDOTEkyLPnro0gW0FTY2QUjnMNee4hE4oTXe/xbHHJ9cuq7c4HzzyzeDw4GxrByGz9Crt6sc+&#10;Zd3hib+jupOI7arNrT80dAXVjvocoNuT6OV1Tb24ERHvRaDFoP7RsuMdfbSBpuTQS5ytIfz6mz7h&#10;aV7JyllDi1by+HMjguLMfHU0yZ+Gk0nazHyYnH4c0SEcW1bHFrexl0BdGdKz4mUWEx7NXtQB7CO9&#10;CYt0K5mEk3R3yXEvXmK3/vSmSLVYZBDtohd44x68TKETy2nSlu2jCL4fR6RJvoX9SorZq6nssMnT&#10;wWKDoOs8sonnjtWef9rjPMn9m5MeiuNzRr28jPNnAAAA//8DAFBLAwQUAAYACAAAACEAAYZA4t8A&#10;AAALAQAADwAAAGRycy9kb3ducmV2LnhtbEyPwU7DMAyG70i8Q2QkbizpYB0tTacJxBW0DZC4ZY3X&#10;VmucqsnW8vaYEzva/vT7+4vV5DpxxiG0njQkMwUCqfK2pVrDx+717hFEiIas6Tyhhh8MsCqvrwqT&#10;Wz/SBs/bWAsOoZAbDU2MfS5lqBp0Jsx8j8S3gx+ciTwOtbSDGTncdXKuVCqdaYk/NKbH5war4/bk&#10;NHy+Hb6/HtR7/eIW/egnJcllUuvbm2n9BCLiFP9h+NNndSjZae9PZIPoNKTJnEkNy2WWgWAgTTLe&#10;7JlUyf0CZFnIyw7lLwAAAP//AwBQSwECLQAUAAYACAAAACEA5JnDwPsAAADhAQAAEwAAAAAAAAAA&#10;AAAAAAAAAAAAW0NvbnRlbnRfVHlwZXNdLnhtbFBLAQItABQABgAIAAAAIQAjsmrh1wAAAJQBAAAL&#10;AAAAAAAAAAAAAAAAACwBAABfcmVscy8ucmVsc1BLAQItABQABgAIAAAAIQAwCaSZegIAAGEFAAAO&#10;AAAAAAAAAAAAAAAAACwCAABkcnMvZTJvRG9jLnhtbFBLAQItABQABgAIAAAAIQABhkDi3wAAAAsB&#10;AAAPAAAAAAAAAAAAAAAAANIEAABkcnMvZG93bnJldi54bWxQSwUGAAAAAAQABADzAAAA3gUAAAAA&#10;" filled="f" stroked="f">
                <v:textbox>
                  <w:txbxContent>
                    <w:p w14:paraId="1BFCC05C" w14:textId="77777777" w:rsidR="00D136F1" w:rsidRDefault="00D136F1" w:rsidP="00D136F1">
                      <w:pPr>
                        <w:pStyle w:val="NormalWeb"/>
                        <w:rPr>
                          <w:rFonts w:ascii="ArialMT" w:hAnsi="ArialMT" w:cs="ArialMT"/>
                        </w:rPr>
                      </w:pPr>
                      <w:r>
                        <w:rPr>
                          <w:rFonts w:ascii="ArialMT" w:hAnsi="ArialMT" w:cs="ArialMT"/>
                        </w:rPr>
                        <w:t>In Actuarial calculations, the</w:t>
                      </w:r>
                      <w:r w:rsidR="008E14BE">
                        <w:rPr>
                          <w:rFonts w:ascii="ArialMT" w:hAnsi="ArialMT" w:cs="ArialMT"/>
                        </w:rPr>
                        <w:t xml:space="preserve"> </w:t>
                      </w:r>
                      <w:r w:rsidRPr="00D136F1">
                        <w:rPr>
                          <w:rFonts w:ascii="ArialMT" w:hAnsi="ArialMT" w:cs="ArialMT"/>
                          <w:color w:val="5B9BD5" w:themeColor="accent1"/>
                          <w:sz w:val="28"/>
                        </w:rPr>
                        <w:t xml:space="preserve">discount rate </w:t>
                      </w:r>
                      <w:r>
                        <w:rPr>
                          <w:rFonts w:ascii="ArialMT" w:hAnsi="ArialMT" w:cs="ArialMT"/>
                        </w:rPr>
                        <w:t>is the factor used to restate the value of liabilities at a future date to today's value.</w:t>
                      </w:r>
                    </w:p>
                    <w:p w14:paraId="4A6C5985" w14:textId="77777777" w:rsidR="00D136F1" w:rsidRDefault="00D136F1" w:rsidP="00D136F1">
                      <w:pPr>
                        <w:pStyle w:val="NormalWeb"/>
                      </w:pPr>
                      <w:r>
                        <w:rPr>
                          <w:rFonts w:ascii="ArialMT" w:hAnsi="ArialMT" w:cs="ArialMT"/>
                        </w:rPr>
                        <w:t xml:space="preserve">In other words, how much money would be need to set aside now, given a particular liability value at a future point. </w:t>
                      </w:r>
                    </w:p>
                    <w:p w14:paraId="39B323D3" w14:textId="77777777" w:rsidR="00D136F1" w:rsidRPr="00621DD2" w:rsidRDefault="00D136F1" w:rsidP="00D136F1">
                      <w:pPr>
                        <w:pStyle w:val="NoSpacing"/>
                        <w:spacing w:before="80" w:after="40"/>
                        <w:rPr>
                          <w:caps/>
                          <w:color w:val="4472C4" w:themeColor="accent5"/>
                          <w:sz w:val="56"/>
                          <w:szCs w:val="24"/>
                        </w:rPr>
                      </w:pPr>
                    </w:p>
                    <w:p w14:paraId="28722DB2" w14:textId="77777777" w:rsidR="00D136F1" w:rsidRPr="00D136F1" w:rsidRDefault="00D136F1">
                      <w:pPr>
                        <w:rPr>
                          <w:lang w:val="en-US"/>
                        </w:rPr>
                      </w:pPr>
                    </w:p>
                  </w:txbxContent>
                </v:textbox>
                <w10:wrap type="square"/>
              </v:shape>
            </w:pict>
          </w:r>
          <w:r>
            <w:rPr>
              <w:noProof/>
              <w:sz w:val="40"/>
              <w:lang w:val="en-IN" w:eastAsia="en-IN"/>
            </w:rPr>
            <w:pict w14:anchorId="34A838B4">
              <v:shape id="Text_x0020_Box_x0020_4" o:spid="_x0000_s1028" type="#_x0000_t202" style="position:absolute;left:0;text-align:left;margin-left:220.05pt;margin-top:110.8pt;width:23.45pt;height:1in;z-index:25166336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jtHQCAABdBQAADgAAAGRycy9lMm9Eb2MueG1srFRbT9swFH6ftP9g+X2krcoYFSnqQEyTEKDB&#10;xLPr2DSa42PZpkn36/fZSUrH9sK0F+fknO/cL2fnXWPYVvlQky359GjCmbKSqto+lfz7w9WHT5yF&#10;KGwlDFlV8p0K/Hz5/t1Z6xZqRhsylfIMRmxYtK7kmxjdoiiC3KhGhCNyykKoyTci4tc/FZUXLaw3&#10;pphNJh+LlnzlPEkVAriXvZAvs32tlYy3WgcVmSk5Yov59fldp7dYnonFkxduU8shDPEPUTSitnC6&#10;N3UpomDPvv7DVFNLT4F0PJLUFKR1LVXOAdlMJ6+yud8Ip3IuKE5w+zKF/2dW3mzvPKurks85s6JB&#10;ix5UF9ln6tg8Vad1YQHQvQMsdmCjyyM/gJmS7rRv0hfpMMhR592+tsmYBHN2evJpesyZhOh0Op9P&#10;cu2LF2XnQ/yiqGGJKLlH63JFxfY6RAQC6AhJvixd1cbk9hn7GwPAnqNy/wftlEcfb6bizqikZew3&#10;pZF/Djsx8uSpC+PZVmBmhJTKxpxxtgt0Qmn4fovigE+qfVRvUd5rZM9k4165qS35XKVXYVc/xpB1&#10;j0f9DvJOZOzWXW78bGznmqoduuyp35Lg5FWNXlyLEO+Ex1qgsVj1eItHG2pLTgPF2Yb8z7/xEx7T&#10;CilnLdas5BZ3gDPz1WKK8yBgK/PP/PhkBg/+ULI+lNjn5oLQkylOipOZTPhoRlJ7ah5xD1bJJ0TC&#10;SngueRzJi9ivPu6JVKtVBmEPnYjX9t7JZDrVOM3ZQ/covBuGMWKKb2hcR7F4NZM9NmlaWj1H0nUe&#10;2FTlvqZD9bHDeY6He5OOxOF/Rr1cxeUvAAAA//8DAFBLAwQUAAYACAAAACEAe0+6d+MAAAALAQAA&#10;DwAAAGRycy9kb3ducmV2LnhtbEyPwU7DMBBE70j8g7VIXBB14oZQhTgVAsGFqojCgaMTL0kgtiPb&#10;TQNf3+UEx9U+zbwp17MZ2IQ+9M5KSBcJMLSN071tJby9PlyugIWorFaDsyjhGwOsq9OTUhXaHewL&#10;TrvYMgqxoVASuhjHgvPQdGhUWLgRLf0+nDcq0ulbrr06ULgZuEiSnBvVW2ro1Ih3HTZfu72R8PPs&#10;N06IzWNavy/7Kd5ffG6ftlKen823N8AizvEPhl99UoeKnGq3tzqwQUKWJSmhEoRIc2BEZKtrWldL&#10;WOZXOfCq5P83VEcAAAD//wMAUEsBAi0AFAAGAAgAAAAhAOSZw8D7AAAA4QEAABMAAAAAAAAAAAAA&#10;AAAAAAAAAFtDb250ZW50X1R5cGVzXS54bWxQSwECLQAUAAYACAAAACEAI7Jq4dcAAACUAQAACwAA&#10;AAAAAAAAAAAAAAAsAQAAX3JlbHMvLnJlbHNQSwECLQAUAAYACAAAACEAFazjtHQCAABdBQAADgAA&#10;AAAAAAAAAAAAAAAsAgAAZHJzL2Uyb0RvYy54bWxQSwECLQAUAAYACAAAACEAe0+6d+MAAAALAQAA&#10;DwAAAAAAAAAAAAAAAADMBAAAZHJzL2Rvd25yZXYueG1sUEsFBgAAAAAEAAQA8wAAANwFAAAAAA==&#10;" filled="f" stroked="f">
                <v:textbox>
                  <w:txbxContent>
                    <w:p w14:paraId="72F3EF6D" w14:textId="77777777" w:rsidR="00D136F1" w:rsidRPr="00D136F1" w:rsidRDefault="00D136F1">
                      <w:pPr>
                        <w:rPr>
                          <w:lang w:val="en-US"/>
                        </w:rPr>
                      </w:pPr>
                    </w:p>
                  </w:txbxContent>
                </v:textbox>
                <w10:wrap type="square"/>
              </v:shape>
            </w:pict>
          </w:r>
          <w:r>
            <w:rPr>
              <w:noProof/>
              <w:sz w:val="40"/>
              <w:lang w:val="en-IN" w:eastAsia="en-IN"/>
            </w:rPr>
            <w:pict w14:anchorId="34942A8E">
              <v:rect id="Rectangle_x0020_132" o:spid="_x0000_s1029" style="position:absolute;left:0;text-align:left;margin-left:4.8pt;margin-top:0;width:46.8pt;height:77.75pt;z-index:251659264;visibility:visible;mso-width-percent:76;mso-height-percent:98;mso-top-percent:23;mso-position-horizontal:right;mso-position-horizontal-relative:margin;mso-position-vertical-relative:page;mso-width-percent:76;mso-height-percent:98;mso-top-percent:23;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S8d58CAACQBQAADgAAAGRycy9lMm9Eb2MueG1srFRLb9swDL4P2H8QdF+dpE0fRp0iSNFhQNAV&#10;bYeeFVmKjcmiJimxs18/SrK9tCt2GOaDYInkx9dHXt90jSJ7YV0NuqDTkwklQnMoa70t6Lfnu0+X&#10;lDjPdMkUaFHQg3D0ZvHxw3VrcjGDClQpLEEQ7fLWFLTy3uRZ5nglGuZOwAiNQgm2YR6vdpuVlrWI&#10;3qhsNpmcZy3Y0ljgwjl8vU1Cuoj4Ugruv0rphCeqoBibj6eN5yac2eKa5VvLTFXzPgz2D1E0rNbo&#10;dIS6ZZ6Rna3/gGpqbsGB9CccmgykrLmIOWA208mbbJ4qZkTMBYvjzFgm9/9g+f3+wZK6xN6dzijR&#10;rMEmPWLZmN4qQcIjlqg1LkfNJ/NgQ5LOrIF/d0TDqkI9sXQGLRAi6GavlMPF9WadtE0wx6xJF1tw&#10;GFsgOk84Ps6vzk7PsVEcRVeXF/N59J+xfDA21vnPAhoSfgpq0XEsPNuvnQ/uWT6oBF9Kh1PDXa1U&#10;koaXGGMKKwboD0ok7UchsRoYyCyiRh6KlbJkz5BBjHOh/TSJKlaK9Dyf4Bdzx9oE5gaLGIrSCBiQ&#10;JfofsXuAQfM1doqy1w+mItJ4NJ78LbBkPFpEz6D9aNzUGux7AAqz6j0n/aFIqTShSr7bdJEppwMl&#10;NlAekD0W0lg5w+9q7MqaOf/ALM4RNhJ3g/+Kh1TQFhT6P0oqsD/few/6SG+UUtLiXBbU/dgxKyhR&#10;XzQS/2x+MQuDfHyxx5fN8UXvmhVg46a4hQyPv2hsvRp+pYXmBVfIMnhFEdMcfRd0M/yufNoWuIK4&#10;WC6jEo6uYX6tnwwP0KHKgXPP3QuzpiemR0bfwzDBLH/Dz6QbLDUsdx5kHckb6pyq2tcfxz4SqV9R&#10;Ya8c36PW70W6+AUAAP//AwBQSwMEFAAGAAgAAAAhAIgVZqzaAAAABAEAAA8AAABkcnMvZG93bnJl&#10;di54bWxMj8FOwzAQRO9I/IO1SNyoQ5GrEuJUUIkjFbRBvbrxEkeN11HstuHv2fZCLyOtZjTztliM&#10;vhNHHGIbSMPjJAOBVAfbUqOh2rw/zEHEZMiaLhBq+MUIi/L2pjC5DSf6wuM6NYJLKOZGg0upz6WM&#10;tUNv4iT0SOz9hMGbxOfQSDuYE5f7Tk6zbCa9aYkXnOlx6bDerw9ew3S7dd9v9NG6T1yt9spWKi0r&#10;re/vxtcXEAnH9B+GMz6jQ8lMu3AgG0WngR9JF2Xv+WkGYscZpRTIspDX8OUfAAAA//8DAFBLAQIt&#10;ABQABgAIAAAAIQDkmcPA+wAAAOEBAAATAAAAAAAAAAAAAAAAAAAAAABbQ29udGVudF9UeXBlc10u&#10;eG1sUEsBAi0AFAAGAAgAAAAhACOyauHXAAAAlAEAAAsAAAAAAAAAAAAAAAAALAEAAF9yZWxzLy5y&#10;ZWxzUEsBAi0AFAAGAAgAAAAhAH9kvHefAgAAkAUAAA4AAAAAAAAAAAAAAAAALAIAAGRycy9lMm9E&#10;b2MueG1sUEsBAi0AFAAGAAgAAAAhAIgVZqzaAAAABAEAAA8AAAAAAAAAAAAAAAAA9wQAAGRycy9k&#10;b3ducmV2LnhtbFBLBQYAAAAABAAEAPMAAAD+BQAAAAA=&#10;" fillcolor="#5b9bd5 [3204]" stroked="f" strokeweight="1pt">
                <v:path arrowok="t"/>
                <o:lock v:ext="edit" aspectratio="t"/>
                <v:textbox inset="3.6pt,,3.6pt">
                  <w:txbxContent>
                    <w:sdt>
                      <w:sdtPr>
                        <w:rPr>
                          <w:color w:val="FFFFFF" w:themeColor="background1"/>
                          <w:sz w:val="24"/>
                          <w:szCs w:val="24"/>
                        </w:rPr>
                        <w:alias w:val="Year"/>
                        <w:tag w:val=""/>
                        <w:id w:val="41956699"/>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765495B5" w14:textId="77777777" w:rsidR="006269A0" w:rsidRDefault="006269A0">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w:r>
          <w:r w:rsidR="006269A0" w:rsidRPr="00621DD2">
            <w:rPr>
              <w:sz w:val="40"/>
            </w:rPr>
            <w:br w:type="page"/>
          </w:r>
        </w:p>
      </w:sdtContent>
    </w:sdt>
    <w:p w14:paraId="671EF65A" w14:textId="77777777" w:rsidR="00A97DCC" w:rsidRPr="00A97DCC" w:rsidRDefault="00A97DCC" w:rsidP="00E912E4">
      <w:pPr>
        <w:pStyle w:val="NormalWeb"/>
        <w:jc w:val="both"/>
        <w:rPr>
          <w:rFonts w:asciiTheme="minorHAnsi" w:hAnsiTheme="minorHAnsi" w:cs="Arial"/>
          <w:color w:val="333333"/>
          <w:sz w:val="28"/>
          <w:szCs w:val="28"/>
          <w:lang w:eastAsia="en-US"/>
        </w:rPr>
      </w:pPr>
      <w:r w:rsidRPr="00D04E98">
        <w:rPr>
          <w:rFonts w:asciiTheme="minorHAnsi" w:hAnsiTheme="minorHAnsi" w:cs="Arial"/>
          <w:color w:val="333333"/>
          <w:sz w:val="44"/>
          <w:szCs w:val="28"/>
          <w:lang w:eastAsia="en-US"/>
        </w:rPr>
        <w:lastRenderedPageBreak/>
        <w:t>O</w:t>
      </w:r>
      <w:r w:rsidRPr="00A97DCC">
        <w:rPr>
          <w:rFonts w:asciiTheme="minorHAnsi" w:hAnsiTheme="minorHAnsi" w:cs="Arial"/>
          <w:color w:val="333333"/>
          <w:sz w:val="28"/>
          <w:szCs w:val="28"/>
          <w:lang w:eastAsia="en-US"/>
        </w:rPr>
        <w:t xml:space="preserve">ne </w:t>
      </w:r>
      <w:r w:rsidR="00587EC9">
        <w:rPr>
          <w:rFonts w:asciiTheme="minorHAnsi" w:hAnsiTheme="minorHAnsi" w:cs="Arial"/>
          <w:color w:val="333333"/>
          <w:sz w:val="28"/>
          <w:szCs w:val="28"/>
          <w:lang w:eastAsia="en-US"/>
        </w:rPr>
        <w:t xml:space="preserve">of the key </w:t>
      </w:r>
      <w:r w:rsidRPr="00A97DCC">
        <w:rPr>
          <w:rFonts w:asciiTheme="minorHAnsi" w:hAnsiTheme="minorHAnsi" w:cs="Arial"/>
          <w:color w:val="333333"/>
          <w:sz w:val="28"/>
          <w:szCs w:val="28"/>
          <w:lang w:eastAsia="en-US"/>
        </w:rPr>
        <w:t>actuarial assumption</w:t>
      </w:r>
      <w:r w:rsidR="00587EC9">
        <w:rPr>
          <w:rFonts w:asciiTheme="minorHAnsi" w:hAnsiTheme="minorHAnsi" w:cs="Arial"/>
          <w:color w:val="333333"/>
          <w:sz w:val="28"/>
          <w:szCs w:val="28"/>
          <w:lang w:eastAsia="en-US"/>
        </w:rPr>
        <w:t>s,</w:t>
      </w:r>
      <w:r w:rsidRPr="00A97DCC">
        <w:rPr>
          <w:rFonts w:asciiTheme="minorHAnsi" w:hAnsiTheme="minorHAnsi" w:cs="Arial"/>
          <w:color w:val="333333"/>
          <w:sz w:val="28"/>
          <w:szCs w:val="28"/>
          <w:lang w:eastAsia="en-US"/>
        </w:rPr>
        <w:t xml:space="preserve"> which has a material effect </w:t>
      </w:r>
      <w:r w:rsidR="00D136F1">
        <w:rPr>
          <w:rFonts w:asciiTheme="minorHAnsi" w:hAnsiTheme="minorHAnsi" w:cs="Arial"/>
          <w:color w:val="333333"/>
          <w:sz w:val="28"/>
          <w:szCs w:val="28"/>
          <w:lang w:eastAsia="en-US"/>
        </w:rPr>
        <w:t xml:space="preserve">on the benefit obligations, </w:t>
      </w:r>
      <w:r w:rsidRPr="00A97DCC">
        <w:rPr>
          <w:rFonts w:asciiTheme="minorHAnsi" w:hAnsiTheme="minorHAnsi" w:cs="Arial"/>
          <w:color w:val="333333"/>
          <w:sz w:val="28"/>
          <w:szCs w:val="28"/>
          <w:lang w:eastAsia="en-US"/>
        </w:rPr>
        <w:t xml:space="preserve">is the discount rate. The discount rate reflects the time value of money but not the actuarial or investment risk. </w:t>
      </w:r>
      <w:r w:rsidR="00D136F1">
        <w:rPr>
          <w:rFonts w:asciiTheme="minorHAnsi" w:hAnsiTheme="minorHAnsi" w:cs="Arial"/>
          <w:color w:val="333333"/>
          <w:sz w:val="28"/>
          <w:szCs w:val="28"/>
          <w:lang w:eastAsia="en-US"/>
        </w:rPr>
        <w:t>Specifically</w:t>
      </w:r>
      <w:r w:rsidRPr="00A97DCC">
        <w:rPr>
          <w:rFonts w:asciiTheme="minorHAnsi" w:hAnsiTheme="minorHAnsi" w:cs="Arial"/>
          <w:color w:val="333333"/>
          <w:sz w:val="28"/>
          <w:szCs w:val="28"/>
          <w:lang w:eastAsia="en-US"/>
        </w:rPr>
        <w:t xml:space="preserve">, the discount rate does not reflect the entity- specific credit risk borne by the entity’s creditors, nor does it reflect the risk that future experience may differ from actuarial assumptions. </w:t>
      </w:r>
    </w:p>
    <w:p w14:paraId="29DDBA61" w14:textId="77777777" w:rsidR="00621DD2" w:rsidRPr="00A97DCC" w:rsidRDefault="00621DD2" w:rsidP="00E912E4">
      <w:pPr>
        <w:jc w:val="both"/>
        <w:rPr>
          <w:rFonts w:eastAsia="Times New Roman" w:cs="Times New Roman"/>
          <w:sz w:val="28"/>
          <w:szCs w:val="28"/>
          <w:lang w:eastAsia="en-GB"/>
        </w:rPr>
      </w:pPr>
      <w:r w:rsidRPr="00A97DCC">
        <w:rPr>
          <w:rFonts w:cs="Arial"/>
          <w:color w:val="333333"/>
          <w:sz w:val="28"/>
          <w:szCs w:val="28"/>
        </w:rPr>
        <w:t xml:space="preserve">The discount rate plays a key role in assessing whether the pension plan has enough assets to meet its future pension obligations. </w:t>
      </w:r>
      <w:r w:rsidR="00A97DCC">
        <w:rPr>
          <w:rFonts w:eastAsia="Times New Roman" w:cs="Arial"/>
          <w:color w:val="404142"/>
          <w:sz w:val="28"/>
          <w:szCs w:val="28"/>
          <w:shd w:val="clear" w:color="auto" w:fill="FFFFFF"/>
          <w:lang w:eastAsia="en-GB"/>
        </w:rPr>
        <w:t>T</w:t>
      </w:r>
      <w:r w:rsidRPr="00A97DCC">
        <w:rPr>
          <w:rFonts w:eastAsia="Times New Roman" w:cs="Arial"/>
          <w:color w:val="404142"/>
          <w:sz w:val="28"/>
          <w:szCs w:val="28"/>
          <w:shd w:val="clear" w:color="auto" w:fill="FFFFFF"/>
          <w:lang w:eastAsia="en-GB"/>
        </w:rPr>
        <w:t xml:space="preserve">he discount rate should be determined by reference to market yields at the end of the reporting period. </w:t>
      </w:r>
      <w:r w:rsidRPr="00A97DCC">
        <w:rPr>
          <w:rFonts w:cs="Arial"/>
          <w:color w:val="333333"/>
          <w:sz w:val="28"/>
          <w:szCs w:val="28"/>
        </w:rPr>
        <w:t xml:space="preserve"> The discount rate reflects what the plan's assets can reasonably be expected to earn over the long term. From this are subtracted the cost of running the pension plan and provisions for major adverse events</w:t>
      </w:r>
      <w:r w:rsidR="00A97DCC">
        <w:rPr>
          <w:rFonts w:cs="Arial"/>
          <w:color w:val="333333"/>
          <w:sz w:val="28"/>
          <w:szCs w:val="28"/>
        </w:rPr>
        <w:t>.</w:t>
      </w:r>
    </w:p>
    <w:p w14:paraId="3A43F35B" w14:textId="77777777" w:rsidR="006269A0" w:rsidRDefault="006269A0" w:rsidP="00E912E4">
      <w:pPr>
        <w:jc w:val="both"/>
        <w:rPr>
          <w:sz w:val="28"/>
          <w:szCs w:val="28"/>
        </w:rPr>
      </w:pPr>
    </w:p>
    <w:p w14:paraId="5BDBB4E9" w14:textId="77777777" w:rsidR="00A97DCC" w:rsidRDefault="00A97DCC" w:rsidP="00E912E4">
      <w:pPr>
        <w:jc w:val="both"/>
        <w:rPr>
          <w:sz w:val="28"/>
          <w:szCs w:val="28"/>
        </w:rPr>
      </w:pPr>
      <w:r>
        <w:rPr>
          <w:sz w:val="28"/>
          <w:szCs w:val="28"/>
        </w:rPr>
        <w:t xml:space="preserve">The discount rate reflects the estimated timings of benefits payments. This can be achieved by applying a single weighted average discount rate that reflects the estimated timing and amount of benefits payment and the currency in which benefits are to be paid. </w:t>
      </w:r>
    </w:p>
    <w:p w14:paraId="16B83A18" w14:textId="77777777" w:rsidR="00D136F1" w:rsidRDefault="00D136F1" w:rsidP="00E912E4">
      <w:pPr>
        <w:jc w:val="both"/>
        <w:rPr>
          <w:sz w:val="28"/>
          <w:szCs w:val="28"/>
        </w:rPr>
      </w:pPr>
    </w:p>
    <w:p w14:paraId="34997054" w14:textId="77777777" w:rsidR="00D136F1" w:rsidRDefault="00D136F1" w:rsidP="00E912E4">
      <w:pPr>
        <w:jc w:val="both"/>
        <w:rPr>
          <w:sz w:val="28"/>
          <w:szCs w:val="28"/>
        </w:rPr>
      </w:pPr>
    </w:p>
    <w:p w14:paraId="7D771689" w14:textId="77777777" w:rsidR="00A97DCC" w:rsidRDefault="00417068" w:rsidP="00E912E4">
      <w:pPr>
        <w:jc w:val="both"/>
        <w:rPr>
          <w:sz w:val="40"/>
        </w:rPr>
      </w:pPr>
      <w:r>
        <w:rPr>
          <w:noProof/>
          <w:sz w:val="40"/>
          <w:lang w:val="en-IN" w:eastAsia="en-IN"/>
        </w:rPr>
      </w:r>
      <w:r>
        <w:rPr>
          <w:noProof/>
          <w:sz w:val="40"/>
          <w:lang w:val="en-IN" w:eastAsia="en-IN"/>
        </w:rPr>
        <w:pict w14:anchorId="09A05430">
          <v:shape id="Text_x0020_Box_x0020_3" o:spid="_x0000_s1030" type="#_x0000_t202" style="width:310.05pt;height:174.4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DSJUCAACkBQAADgAAAGRycy9lMm9Eb2MueG1srFRLb9swDL4P2H8QdF+dZ7cGdYqsQYcBRVus&#10;HXpWZKk2JouapMTOfv1I2U6zrpcOu9gU+YmPTyTPL9rasJ3yoQKb8/HJiDNlJRSVfcr594erD584&#10;C1HYQhiwKud7FfjF8v2788Yt1ARKMIXyDJ3YsGhczssY3SLLgixVLcIJOGXRqMHXIuLRP2WFFw16&#10;r002GY1OswZ84TxIFQJq152RL5N/rZWMt1oHFZnJOeYW09en74a+2fJcLJ68cGUl+zTEP2RRi8pi&#10;0IOrtYiCbX31l6u6kh4C6Hgioc5A60qqVANWMx69qOa+FE6lWpCc4A40hf/nVt7s7jyripxPObOi&#10;xid6UG1kn6FlU2KncWGBoHuHsNiiGl950AdUUtGt9jX9sRyGduR5f+CWnElUTs+mH0+nc84k2iaT&#10;8Xw+npOf7Pm68yF+UVAzEnLu8fESp2J3HWIHHSAUzcJVZUx6QGNJEcBUBenSgTpIXRrPdgLfPrYp&#10;a4z2B4r8rUUoO1CB0hpin1bnVKUm6hMgMrqikxT3RlEsY78pjSSm2l8JLqRUNg4JJDShNKb6los9&#10;nq52Wb3l8uFGigw2Hi7XlQWfiE5T98xZ8WNIWXd4fK2jukmM7aZN3TMbemIDxR5bxUM3asHJqwpJ&#10;vhYh3gmPs4Xdgfsi3uJHG2hyDr3EWQn+12t6wmPLo5WzBmc15+HnVnjFmflqcRjOxrMZDXc6zOYf&#10;J3jwx5bNscVu60vAlhjjZnIyiYSPZhC1h/oR18qKoqJJWImxsYcG8TJ2GwTXklSrVQLhODsRr+29&#10;k+SaWKbmemgfhXd9R0cchhsYplosXjR2h6WbFlbbCLpKXU88d6z2/OMqSHPTry3aNcfnhHpersvf&#10;AAAA//8DAFBLAwQUAAYACAAAACEAU/1YjtwAAAAFAQAADwAAAGRycy9kb3ducmV2LnhtbEyPwU7D&#10;MBBE70j9B2srcUHUaUFVCXGqgoQ4wKWh4ryNFyciXruxk4a/x3CBy0qjGc28LbaT7cRIfWgdK1gu&#10;MhDEtdMtGwWHt6frDYgQkTV2jknBFwXYlrOLAnPtzrynsYpGpBIOOSpoYvS5lKFuyGJYOE+cvA/X&#10;W4xJ9kbqHs+p3HZylWVrabHltNCgp8eG6s9qsAqieaj9Qb8Pp2C8HK+q8ILPr0pdzqfdPYhIU/wL&#10;ww9+QocyMR3dwDqITkF6JP7e5K1X2RLEUcHN7eYOZFnI//TlNwAAAP//AwBQSwECLQAUAAYACAAA&#10;ACEA5JnDwPsAAADhAQAAEwAAAAAAAAAAAAAAAAAAAAAAW0NvbnRlbnRfVHlwZXNdLnhtbFBLAQIt&#10;ABQABgAIAAAAIQAjsmrh1wAAAJQBAAALAAAAAAAAAAAAAAAAACwBAABfcmVscy8ucmVsc1BLAQIt&#10;ABQABgAIAAAAIQCSacNIlQIAAKQFAAAOAAAAAAAAAAAAAAAAACwCAABkcnMvZTJvRG9jLnhtbFBL&#10;AQItABQABgAIAAAAIQBT/ViO3AAAAAUBAAAPAAAAAAAAAAAAAAAAAO0EAABkcnMvZG93bnJldi54&#10;bWxQSwUGAAAAAAQABADzAAAA9gUAAAAA&#10;" filled="f" strokecolor="black [3213]">
            <v:stroke dashstyle="dashDot"/>
            <v:textbox>
              <w:txbxContent>
                <w:p w14:paraId="701407FE" w14:textId="77777777" w:rsidR="00A97DCC" w:rsidRPr="000F7991" w:rsidRDefault="00A97DCC" w:rsidP="00A97DCC">
                  <w:pPr>
                    <w:rPr>
                      <w:b/>
                      <w:color w:val="5B9BD5" w:themeColor="accent1"/>
                      <w:sz w:val="40"/>
                      <w:szCs w:val="28"/>
                    </w:rPr>
                  </w:pPr>
                  <w:r w:rsidRPr="000F7991">
                    <w:rPr>
                      <w:b/>
                      <w:color w:val="5B9BD5" w:themeColor="accent1"/>
                      <w:sz w:val="40"/>
                      <w:szCs w:val="28"/>
                    </w:rPr>
                    <w:t>IND AS 19 – DISCOUNT RATE</w:t>
                  </w:r>
                </w:p>
                <w:p w14:paraId="4B837E54" w14:textId="77777777" w:rsidR="00A97DCC" w:rsidRDefault="00A97DCC" w:rsidP="00A97DCC">
                  <w:pPr>
                    <w:rPr>
                      <w:sz w:val="28"/>
                      <w:szCs w:val="28"/>
                    </w:rPr>
                  </w:pPr>
                </w:p>
                <w:p w14:paraId="0E923B74" w14:textId="77777777" w:rsidR="00A97DCC" w:rsidRPr="00A97DCC" w:rsidRDefault="00A97DCC" w:rsidP="000F7991">
                  <w:pPr>
                    <w:jc w:val="both"/>
                    <w:rPr>
                      <w:sz w:val="28"/>
                      <w:szCs w:val="28"/>
                    </w:rPr>
                  </w:pPr>
                  <w:r w:rsidRPr="00A97DCC">
                    <w:rPr>
                      <w:sz w:val="28"/>
                      <w:szCs w:val="28"/>
                    </w:rPr>
                    <w:t xml:space="preserve">As per the </w:t>
                  </w:r>
                  <w:r w:rsidRPr="00A97DCC">
                    <w:rPr>
                      <w:b/>
                      <w:sz w:val="28"/>
                      <w:szCs w:val="28"/>
                    </w:rPr>
                    <w:t>IND AS 19 Guidelines</w:t>
                  </w:r>
                  <w:r w:rsidRPr="00A97DCC">
                    <w:rPr>
                      <w:sz w:val="28"/>
                      <w:szCs w:val="28"/>
                    </w:rPr>
                    <w:t xml:space="preserve"> issued by the </w:t>
                  </w:r>
                  <w:r w:rsidRPr="00A97DCC">
                    <w:rPr>
                      <w:b/>
                      <w:sz w:val="28"/>
                      <w:szCs w:val="28"/>
                    </w:rPr>
                    <w:t>Ministry of Corporate Affairs</w:t>
                  </w:r>
                  <w:r w:rsidRPr="00A97DCC">
                    <w:rPr>
                      <w:sz w:val="28"/>
                      <w:szCs w:val="28"/>
                    </w:rPr>
                    <w:t xml:space="preserve">, to decide upon the rate of discounting for the post employment benefit obligations, it is suggested to used the </w:t>
                  </w:r>
                  <w:r w:rsidRPr="00A97DCC">
                    <w:rPr>
                      <w:b/>
                      <w:sz w:val="28"/>
                      <w:szCs w:val="28"/>
                    </w:rPr>
                    <w:t>yields on long term Indian Government bonds.</w:t>
                  </w:r>
                </w:p>
                <w:p w14:paraId="1AFF89F0" w14:textId="77777777" w:rsidR="00A97DCC" w:rsidRDefault="00A97DCC" w:rsidP="00A97DCC"/>
                <w:p w14:paraId="585B89E3" w14:textId="77777777" w:rsidR="00A97DCC" w:rsidRDefault="00A97DCC"/>
              </w:txbxContent>
            </v:textbox>
            <w10:wrap type="none"/>
            <w10:anchorlock/>
          </v:shape>
        </w:pict>
      </w:r>
    </w:p>
    <w:p w14:paraId="5CA885AC" w14:textId="77777777" w:rsidR="00D136F1" w:rsidRDefault="00D136F1" w:rsidP="00E912E4">
      <w:pPr>
        <w:jc w:val="both"/>
        <w:rPr>
          <w:sz w:val="40"/>
        </w:rPr>
      </w:pPr>
    </w:p>
    <w:p w14:paraId="481CF3B9" w14:textId="77777777" w:rsidR="00D136F1" w:rsidRDefault="00D136F1" w:rsidP="00E912E4">
      <w:pPr>
        <w:pStyle w:val="NormalWeb"/>
        <w:jc w:val="both"/>
        <w:rPr>
          <w:rFonts w:asciiTheme="minorHAnsi" w:hAnsiTheme="minorHAnsi" w:cstheme="minorBidi"/>
          <w:sz w:val="28"/>
          <w:szCs w:val="28"/>
          <w:lang w:eastAsia="en-US"/>
        </w:rPr>
      </w:pPr>
      <w:r w:rsidRPr="00736641">
        <w:rPr>
          <w:rFonts w:asciiTheme="minorHAnsi" w:hAnsiTheme="minorHAnsi" w:cstheme="minorBidi"/>
          <w:sz w:val="28"/>
          <w:szCs w:val="28"/>
          <w:lang w:eastAsia="en-US"/>
        </w:rPr>
        <w:t>It is suggested in practice to follow discount rates based on assumptions, such as weighted average yields, instead of considering the actual durations matching G-Sec.</w:t>
      </w:r>
    </w:p>
    <w:p w14:paraId="19BECAB0" w14:textId="77777777" w:rsidR="00E912E4" w:rsidRDefault="00E912E4" w:rsidP="00E912E4">
      <w:pPr>
        <w:pStyle w:val="NormalWeb"/>
        <w:jc w:val="both"/>
        <w:rPr>
          <w:rFonts w:asciiTheme="minorHAnsi" w:hAnsiTheme="minorHAnsi" w:cstheme="minorBidi"/>
          <w:sz w:val="28"/>
          <w:szCs w:val="28"/>
          <w:lang w:eastAsia="en-US"/>
        </w:rPr>
      </w:pPr>
    </w:p>
    <w:p w14:paraId="47728A8B" w14:textId="77777777" w:rsidR="008E14BE" w:rsidRDefault="008E14BE" w:rsidP="00E912E4">
      <w:pPr>
        <w:pStyle w:val="NormalWeb"/>
        <w:jc w:val="both"/>
        <w:rPr>
          <w:rFonts w:asciiTheme="minorHAnsi" w:hAnsiTheme="minorHAnsi" w:cstheme="minorBidi"/>
          <w:sz w:val="28"/>
          <w:szCs w:val="28"/>
          <w:lang w:eastAsia="en-US"/>
        </w:rPr>
      </w:pPr>
    </w:p>
    <w:p w14:paraId="1039D0B7" w14:textId="77777777" w:rsidR="003C0200" w:rsidRPr="00C63783" w:rsidRDefault="00C63783" w:rsidP="00E912E4">
      <w:pPr>
        <w:pStyle w:val="NormalWeb"/>
        <w:jc w:val="both"/>
        <w:rPr>
          <w:rFonts w:asciiTheme="minorHAnsi" w:hAnsiTheme="minorHAnsi" w:cstheme="minorBidi"/>
          <w:color w:val="5B9BD5" w:themeColor="accent1"/>
          <w:sz w:val="32"/>
          <w:szCs w:val="28"/>
          <w:lang w:eastAsia="en-US"/>
        </w:rPr>
      </w:pPr>
      <w:r w:rsidRPr="00C63783">
        <w:rPr>
          <w:rFonts w:asciiTheme="minorHAnsi" w:hAnsiTheme="minorHAnsi" w:cstheme="minorBidi"/>
          <w:color w:val="5B9BD5" w:themeColor="accent1"/>
          <w:sz w:val="32"/>
          <w:szCs w:val="28"/>
          <w:lang w:eastAsia="en-US"/>
        </w:rPr>
        <w:lastRenderedPageBreak/>
        <w:t>GOVERNMEN</w:t>
      </w:r>
      <w:r w:rsidR="00DB212E">
        <w:rPr>
          <w:rFonts w:asciiTheme="minorHAnsi" w:hAnsiTheme="minorHAnsi" w:cstheme="minorBidi"/>
          <w:color w:val="5B9BD5" w:themeColor="accent1"/>
          <w:sz w:val="32"/>
          <w:szCs w:val="28"/>
          <w:lang w:eastAsia="en-US"/>
        </w:rPr>
        <w:t xml:space="preserve">T OF </w:t>
      </w:r>
      <w:r w:rsidR="002F6991">
        <w:rPr>
          <w:rFonts w:asciiTheme="minorHAnsi" w:hAnsiTheme="minorHAnsi" w:cstheme="minorBidi"/>
          <w:color w:val="5B9BD5" w:themeColor="accent1"/>
          <w:sz w:val="32"/>
          <w:szCs w:val="28"/>
          <w:lang w:eastAsia="en-US"/>
        </w:rPr>
        <w:t>INDIA BOND RATES – AS ON 3</w:t>
      </w:r>
      <w:r w:rsidR="00F63807">
        <w:rPr>
          <w:rFonts w:asciiTheme="minorHAnsi" w:hAnsiTheme="minorHAnsi" w:cstheme="minorBidi"/>
          <w:color w:val="5B9BD5" w:themeColor="accent1"/>
          <w:sz w:val="32"/>
          <w:szCs w:val="28"/>
          <w:lang w:eastAsia="en-US"/>
        </w:rPr>
        <w:t>1</w:t>
      </w:r>
      <w:r w:rsidR="00F63807">
        <w:rPr>
          <w:rFonts w:asciiTheme="minorHAnsi" w:hAnsiTheme="minorHAnsi" w:cstheme="minorBidi"/>
          <w:color w:val="5B9BD5" w:themeColor="accent1"/>
          <w:sz w:val="32"/>
          <w:szCs w:val="28"/>
          <w:vertAlign w:val="superscript"/>
          <w:lang w:eastAsia="en-US"/>
        </w:rPr>
        <w:t>ST</w:t>
      </w:r>
      <w:r w:rsidR="00F63807">
        <w:rPr>
          <w:rFonts w:asciiTheme="minorHAnsi" w:hAnsiTheme="minorHAnsi" w:cstheme="minorBidi"/>
          <w:color w:val="5B9BD5" w:themeColor="accent1"/>
          <w:sz w:val="32"/>
          <w:szCs w:val="28"/>
          <w:lang w:eastAsia="en-US"/>
        </w:rPr>
        <w:t>DEC</w:t>
      </w:r>
      <w:r w:rsidR="002F6991">
        <w:rPr>
          <w:rFonts w:asciiTheme="minorHAnsi" w:hAnsiTheme="minorHAnsi" w:cstheme="minorBidi"/>
          <w:color w:val="5B9BD5" w:themeColor="accent1"/>
          <w:sz w:val="32"/>
          <w:szCs w:val="28"/>
          <w:lang w:eastAsia="en-US"/>
        </w:rPr>
        <w:t>EMBER</w:t>
      </w:r>
      <w:r w:rsidRPr="00C63783">
        <w:rPr>
          <w:rFonts w:asciiTheme="minorHAnsi" w:hAnsiTheme="minorHAnsi" w:cstheme="minorBidi"/>
          <w:color w:val="5B9BD5" w:themeColor="accent1"/>
          <w:sz w:val="32"/>
          <w:szCs w:val="28"/>
          <w:lang w:eastAsia="en-US"/>
        </w:rPr>
        <w:t xml:space="preserve"> 2017</w:t>
      </w:r>
    </w:p>
    <w:p w14:paraId="1508A445" w14:textId="77777777" w:rsidR="003C0200" w:rsidRPr="00C63783" w:rsidRDefault="00FB30C3" w:rsidP="00FB30C3">
      <w:pPr>
        <w:pStyle w:val="NormalWeb"/>
        <w:jc w:val="both"/>
        <w:rPr>
          <w:rFonts w:asciiTheme="minorHAnsi" w:hAnsiTheme="minorHAnsi" w:cstheme="minorBidi"/>
          <w:sz w:val="22"/>
          <w:szCs w:val="22"/>
          <w:lang w:eastAsia="en-US"/>
        </w:rPr>
      </w:pPr>
      <w:r w:rsidRPr="00FB30C3">
        <w:rPr>
          <w:rFonts w:asciiTheme="minorHAnsi" w:hAnsiTheme="minorHAnsi" w:cstheme="minorBidi"/>
          <w:sz w:val="22"/>
          <w:szCs w:val="22"/>
          <w:lang w:eastAsia="en-US"/>
        </w:rPr>
        <w:t>The</w:t>
      </w:r>
      <w:r w:rsidRPr="00C63783">
        <w:rPr>
          <w:rFonts w:asciiTheme="minorHAnsi" w:hAnsiTheme="minorHAnsi" w:cstheme="minorBidi"/>
          <w:sz w:val="22"/>
          <w:szCs w:val="22"/>
          <w:lang w:eastAsia="en-US"/>
        </w:rPr>
        <w:t xml:space="preserve"> yield </w:t>
      </w:r>
      <w:r w:rsidRPr="00FB30C3">
        <w:rPr>
          <w:rFonts w:asciiTheme="minorHAnsi" w:hAnsiTheme="minorHAnsi" w:cstheme="minorBidi"/>
          <w:sz w:val="22"/>
          <w:szCs w:val="22"/>
          <w:lang w:eastAsia="en-US"/>
        </w:rPr>
        <w:t>rates</w:t>
      </w:r>
      <w:r w:rsidR="009C6535" w:rsidRPr="00C63783">
        <w:rPr>
          <w:rFonts w:asciiTheme="minorHAnsi" w:hAnsiTheme="minorHAnsi" w:cstheme="minorBidi"/>
          <w:sz w:val="22"/>
          <w:szCs w:val="22"/>
          <w:lang w:eastAsia="en-US"/>
        </w:rPr>
        <w:t xml:space="preserve"> below</w:t>
      </w:r>
      <w:r w:rsidRPr="00FB30C3">
        <w:rPr>
          <w:rFonts w:asciiTheme="minorHAnsi" w:hAnsiTheme="minorHAnsi" w:cstheme="minorBidi"/>
          <w:sz w:val="22"/>
          <w:szCs w:val="22"/>
          <w:lang w:eastAsia="en-US"/>
        </w:rPr>
        <w:t xml:space="preserve"> are comprised of Generic Indian </w:t>
      </w:r>
      <w:r w:rsidRPr="00C63783">
        <w:rPr>
          <w:rFonts w:asciiTheme="minorHAnsi" w:hAnsiTheme="minorHAnsi" w:cstheme="minorBidi"/>
          <w:sz w:val="22"/>
          <w:szCs w:val="22"/>
          <w:lang w:eastAsia="en-US"/>
        </w:rPr>
        <w:t>government bills and bonds. The rates given below are based on the benchmark FIMMDA</w:t>
      </w:r>
      <w:r w:rsidR="00D04E98" w:rsidRPr="00C63783">
        <w:rPr>
          <w:rFonts w:asciiTheme="minorHAnsi" w:hAnsiTheme="minorHAnsi" w:cstheme="minorBidi"/>
          <w:sz w:val="22"/>
          <w:szCs w:val="22"/>
          <w:lang w:eastAsia="en-US"/>
        </w:rPr>
        <w:t xml:space="preserve"> (Fixed Income Markets and Derivatives Association of India)</w:t>
      </w:r>
      <w:r w:rsidRPr="00C63783">
        <w:rPr>
          <w:rFonts w:asciiTheme="minorHAnsi" w:hAnsiTheme="minorHAnsi" w:cstheme="minorBidi"/>
          <w:sz w:val="22"/>
          <w:szCs w:val="22"/>
          <w:lang w:eastAsia="en-US"/>
        </w:rPr>
        <w:t xml:space="preserve"> indices.</w:t>
      </w:r>
      <w:r w:rsidR="00D04E98" w:rsidRPr="00C63783">
        <w:rPr>
          <w:rFonts w:asciiTheme="minorHAnsi" w:hAnsiTheme="minorHAnsi" w:cstheme="minorBidi"/>
          <w:sz w:val="22"/>
          <w:szCs w:val="22"/>
          <w:lang w:eastAsia="en-US"/>
        </w:rPr>
        <w:t xml:space="preserve"> FIMMDA is the</w:t>
      </w:r>
      <w:r w:rsidR="00C63783">
        <w:rPr>
          <w:rFonts w:asciiTheme="minorHAnsi" w:hAnsiTheme="minorHAnsi" w:cstheme="minorBidi"/>
          <w:sz w:val="22"/>
          <w:szCs w:val="22"/>
          <w:lang w:eastAsia="en-US"/>
        </w:rPr>
        <w:t xml:space="preserve"> nodal</w:t>
      </w:r>
      <w:r w:rsidR="00D04E98" w:rsidRPr="00C63783">
        <w:rPr>
          <w:rFonts w:asciiTheme="minorHAnsi" w:hAnsiTheme="minorHAnsi" w:cstheme="minorBidi"/>
          <w:sz w:val="22"/>
          <w:szCs w:val="22"/>
          <w:lang w:eastAsia="en-US"/>
        </w:rPr>
        <w:t xml:space="preserve"> agency designated by RBI to set </w:t>
      </w:r>
      <w:r w:rsidR="00C63783">
        <w:rPr>
          <w:rFonts w:asciiTheme="minorHAnsi" w:hAnsiTheme="minorHAnsi" w:cstheme="minorBidi"/>
          <w:sz w:val="22"/>
          <w:szCs w:val="22"/>
          <w:lang w:eastAsia="en-US"/>
        </w:rPr>
        <w:t xml:space="preserve">financial </w:t>
      </w:r>
      <w:r w:rsidR="00D04E98" w:rsidRPr="00C63783">
        <w:rPr>
          <w:rFonts w:asciiTheme="minorHAnsi" w:hAnsiTheme="minorHAnsi" w:cstheme="minorBidi"/>
          <w:sz w:val="22"/>
          <w:szCs w:val="22"/>
          <w:lang w:eastAsia="en-US"/>
        </w:rPr>
        <w:t xml:space="preserve">benchmarks. </w:t>
      </w:r>
    </w:p>
    <w:p w14:paraId="0792AFDB" w14:textId="77777777" w:rsidR="00FB30C3" w:rsidRPr="00FB30C3" w:rsidRDefault="00FB30C3" w:rsidP="00FB30C3">
      <w:pPr>
        <w:rPr>
          <w:rFonts w:ascii="Times New Roman" w:eastAsia="Times New Roman" w:hAnsi="Times New Roman" w:cs="Times New Roman"/>
          <w:lang w:eastAsia="en-GB"/>
        </w:rPr>
      </w:pPr>
    </w:p>
    <w:tbl>
      <w:tblPr>
        <w:tblW w:w="8343" w:type="dxa"/>
        <w:tblInd w:w="189" w:type="dxa"/>
        <w:tblLook w:val="04A0" w:firstRow="1" w:lastRow="0" w:firstColumn="1" w:lastColumn="0" w:noHBand="0" w:noVBand="1"/>
      </w:tblPr>
      <w:tblGrid>
        <w:gridCol w:w="1320"/>
        <w:gridCol w:w="1300"/>
        <w:gridCol w:w="1300"/>
        <w:gridCol w:w="2270"/>
        <w:gridCol w:w="2153"/>
      </w:tblGrid>
      <w:tr w:rsidR="000064C8" w:rsidRPr="003C0200" w14:paraId="3BE5D780" w14:textId="77777777" w:rsidTr="009945EE">
        <w:trPr>
          <w:trHeight w:val="320"/>
        </w:trPr>
        <w:tc>
          <w:tcPr>
            <w:tcW w:w="1320" w:type="dxa"/>
            <w:tcBorders>
              <w:top w:val="nil"/>
              <w:left w:val="nil"/>
              <w:bottom w:val="single" w:sz="12" w:space="0" w:color="FFFFFF"/>
              <w:right w:val="single" w:sz="4" w:space="0" w:color="FFFFFF"/>
            </w:tcBorders>
            <w:shd w:val="clear" w:color="5B9BD5" w:fill="FFFFFF" w:themeFill="background1"/>
            <w:noWrap/>
            <w:vAlign w:val="bottom"/>
            <w:hideMark/>
          </w:tcPr>
          <w:p w14:paraId="21710E4C" w14:textId="77777777" w:rsidR="000064C8" w:rsidRPr="003C0200" w:rsidRDefault="000064C8" w:rsidP="000064C8">
            <w:pPr>
              <w:jc w:val="center"/>
              <w:rPr>
                <w:rFonts w:ascii="Calibri" w:eastAsia="Times New Roman" w:hAnsi="Calibri" w:cs="Times New Roman"/>
                <w:b/>
                <w:bCs/>
                <w:color w:val="FFFFFF"/>
                <w:sz w:val="32"/>
                <w:szCs w:val="32"/>
                <w:lang w:eastAsia="en-GB"/>
              </w:rPr>
            </w:pPr>
          </w:p>
        </w:tc>
        <w:tc>
          <w:tcPr>
            <w:tcW w:w="1300" w:type="dxa"/>
            <w:tcBorders>
              <w:top w:val="nil"/>
              <w:left w:val="single" w:sz="4" w:space="0" w:color="FFFFFF"/>
              <w:bottom w:val="single" w:sz="12" w:space="0" w:color="FFFFFF"/>
              <w:right w:val="single" w:sz="4" w:space="0" w:color="FFFFFF"/>
            </w:tcBorders>
            <w:shd w:val="clear" w:color="5B9BD5" w:fill="5B9BD5"/>
            <w:noWrap/>
            <w:vAlign w:val="bottom"/>
            <w:hideMark/>
          </w:tcPr>
          <w:p w14:paraId="093E33C2" w14:textId="77777777" w:rsidR="000064C8" w:rsidRPr="003C0200" w:rsidRDefault="000064C8" w:rsidP="000064C8">
            <w:pPr>
              <w:jc w:val="center"/>
              <w:rPr>
                <w:rFonts w:ascii="Calibri" w:eastAsia="Times New Roman" w:hAnsi="Calibri" w:cs="Times New Roman"/>
                <w:b/>
                <w:bCs/>
                <w:color w:val="FFFFFF"/>
                <w:sz w:val="32"/>
                <w:szCs w:val="32"/>
                <w:lang w:eastAsia="en-GB"/>
              </w:rPr>
            </w:pPr>
            <w:r w:rsidRPr="000064C8">
              <w:rPr>
                <w:rFonts w:ascii="Calibri" w:eastAsia="Times New Roman" w:hAnsi="Calibri"/>
                <w:b/>
                <w:bCs/>
                <w:color w:val="FFFFFF"/>
                <w:sz w:val="32"/>
                <w:szCs w:val="32"/>
              </w:rPr>
              <w:t>Year</w:t>
            </w:r>
          </w:p>
        </w:tc>
        <w:tc>
          <w:tcPr>
            <w:tcW w:w="1300" w:type="dxa"/>
            <w:tcBorders>
              <w:top w:val="nil"/>
              <w:left w:val="single" w:sz="4" w:space="0" w:color="FFFFFF"/>
              <w:bottom w:val="single" w:sz="12" w:space="0" w:color="FFFFFF"/>
              <w:right w:val="single" w:sz="4" w:space="0" w:color="FFFFFF"/>
            </w:tcBorders>
            <w:shd w:val="clear" w:color="5B9BD5" w:fill="5B9BD5"/>
            <w:noWrap/>
            <w:vAlign w:val="bottom"/>
            <w:hideMark/>
          </w:tcPr>
          <w:p w14:paraId="32544B28" w14:textId="77777777" w:rsidR="000064C8" w:rsidRPr="003C0200" w:rsidRDefault="000064C8" w:rsidP="000064C8">
            <w:pPr>
              <w:jc w:val="center"/>
              <w:rPr>
                <w:rFonts w:ascii="Calibri" w:eastAsia="Times New Roman" w:hAnsi="Calibri" w:cs="Times New Roman"/>
                <w:b/>
                <w:bCs/>
                <w:color w:val="FFFFFF"/>
                <w:sz w:val="32"/>
                <w:szCs w:val="32"/>
                <w:lang w:eastAsia="en-GB"/>
              </w:rPr>
            </w:pPr>
            <w:r w:rsidRPr="000064C8">
              <w:rPr>
                <w:rFonts w:ascii="Calibri" w:eastAsia="Times New Roman" w:hAnsi="Calibri"/>
                <w:b/>
                <w:bCs/>
                <w:color w:val="FFFFFF"/>
                <w:sz w:val="32"/>
                <w:szCs w:val="32"/>
              </w:rPr>
              <w:t>Tenor</w:t>
            </w:r>
          </w:p>
        </w:tc>
        <w:tc>
          <w:tcPr>
            <w:tcW w:w="2270" w:type="dxa"/>
            <w:tcBorders>
              <w:top w:val="nil"/>
              <w:left w:val="single" w:sz="4" w:space="0" w:color="FFFFFF"/>
              <w:bottom w:val="single" w:sz="12" w:space="0" w:color="FFFFFF"/>
              <w:right w:val="single" w:sz="4" w:space="0" w:color="FFFFFF"/>
            </w:tcBorders>
            <w:shd w:val="clear" w:color="5B9BD5" w:fill="5B9BD5"/>
            <w:noWrap/>
            <w:vAlign w:val="bottom"/>
            <w:hideMark/>
          </w:tcPr>
          <w:p w14:paraId="66D4016A" w14:textId="77777777" w:rsidR="000064C8" w:rsidRPr="003C0200" w:rsidRDefault="000064C8" w:rsidP="000064C8">
            <w:pPr>
              <w:jc w:val="center"/>
              <w:rPr>
                <w:rFonts w:ascii="Calibri" w:eastAsia="Times New Roman" w:hAnsi="Calibri" w:cs="Times New Roman"/>
                <w:b/>
                <w:bCs/>
                <w:color w:val="FFFFFF"/>
                <w:sz w:val="32"/>
                <w:szCs w:val="32"/>
                <w:lang w:eastAsia="en-GB"/>
              </w:rPr>
            </w:pPr>
            <w:r w:rsidRPr="000064C8">
              <w:rPr>
                <w:rFonts w:ascii="Calibri" w:eastAsia="Times New Roman" w:hAnsi="Calibri"/>
                <w:b/>
                <w:bCs/>
                <w:color w:val="FFFFFF"/>
                <w:sz w:val="32"/>
                <w:szCs w:val="32"/>
              </w:rPr>
              <w:t>Yield Range</w:t>
            </w:r>
          </w:p>
        </w:tc>
        <w:tc>
          <w:tcPr>
            <w:tcW w:w="2153" w:type="dxa"/>
            <w:tcBorders>
              <w:top w:val="nil"/>
              <w:left w:val="single" w:sz="4" w:space="0" w:color="FFFFFF"/>
              <w:bottom w:val="single" w:sz="12" w:space="0" w:color="FFFFFF"/>
              <w:right w:val="nil"/>
            </w:tcBorders>
            <w:shd w:val="clear" w:color="5B9BD5" w:fill="5B9BD5"/>
            <w:noWrap/>
            <w:vAlign w:val="bottom"/>
            <w:hideMark/>
          </w:tcPr>
          <w:p w14:paraId="6E472F13" w14:textId="77777777" w:rsidR="000064C8" w:rsidRPr="003C0200" w:rsidRDefault="000064C8" w:rsidP="000064C8">
            <w:pPr>
              <w:jc w:val="center"/>
              <w:rPr>
                <w:rFonts w:ascii="Calibri" w:eastAsia="Times New Roman" w:hAnsi="Calibri" w:cs="Times New Roman"/>
                <w:b/>
                <w:bCs/>
                <w:color w:val="FFFFFF"/>
                <w:sz w:val="32"/>
                <w:szCs w:val="32"/>
                <w:lang w:eastAsia="en-GB"/>
              </w:rPr>
            </w:pPr>
            <w:r w:rsidRPr="000064C8">
              <w:rPr>
                <w:rFonts w:ascii="Calibri" w:eastAsia="Times New Roman" w:hAnsi="Calibri"/>
                <w:b/>
                <w:bCs/>
                <w:color w:val="FFFFFF"/>
                <w:sz w:val="32"/>
                <w:szCs w:val="32"/>
              </w:rPr>
              <w:t>Year to Mat.</w:t>
            </w:r>
          </w:p>
        </w:tc>
      </w:tr>
      <w:tr w:rsidR="000064C8" w:rsidRPr="003C0200" w14:paraId="5277FC8E"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7B891D0B"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62C1D24" w14:textId="77777777" w:rsidR="000064C8" w:rsidRPr="003C0200" w:rsidRDefault="000064C8" w:rsidP="000064C8">
            <w:pPr>
              <w:jc w:val="center"/>
              <w:rPr>
                <w:rFonts w:ascii="Calibri" w:eastAsia="Times New Roman" w:hAnsi="Calibri" w:cs="Times New Roman"/>
                <w:color w:val="000000"/>
                <w:sz w:val="32"/>
                <w:szCs w:val="32"/>
                <w:lang w:eastAsia="en-GB"/>
              </w:rPr>
            </w:pP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566C883"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3M</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3275303"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6.120/6.110</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16A852AA" w14:textId="77777777" w:rsidR="00F63807" w:rsidRPr="003C0200" w:rsidRDefault="00F63807" w:rsidP="00F63807">
            <w:pPr>
              <w:jc w:val="center"/>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0.25</w:t>
            </w:r>
          </w:p>
        </w:tc>
      </w:tr>
      <w:tr w:rsidR="000064C8" w:rsidRPr="003C0200" w14:paraId="69FA7459"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6020B84A"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24ACD84" w14:textId="77777777" w:rsidR="000064C8" w:rsidRPr="003C0200" w:rsidRDefault="000064C8" w:rsidP="000064C8">
            <w:pPr>
              <w:jc w:val="center"/>
              <w:rPr>
                <w:rFonts w:ascii="Calibri" w:eastAsia="Times New Roman" w:hAnsi="Calibri" w:cs="Times New Roman"/>
                <w:color w:val="000000"/>
                <w:sz w:val="32"/>
                <w:szCs w:val="32"/>
                <w:lang w:eastAsia="en-GB"/>
              </w:rPr>
            </w:pP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ABB2A9A"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6M</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95E3422"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6.240/6.200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1E02BC31" w14:textId="77777777" w:rsidR="000064C8" w:rsidRPr="003C0200" w:rsidRDefault="00646F24" w:rsidP="000064C8">
            <w:pPr>
              <w:jc w:val="center"/>
              <w:rPr>
                <w:rFonts w:ascii="Calibri" w:eastAsia="Times New Roman" w:hAnsi="Calibri" w:cs="Times New Roman"/>
                <w:color w:val="000000"/>
                <w:sz w:val="32"/>
                <w:szCs w:val="32"/>
                <w:lang w:eastAsia="en-GB"/>
              </w:rPr>
            </w:pPr>
            <w:r>
              <w:rPr>
                <w:rFonts w:ascii="Calibri" w:eastAsia="Times New Roman" w:hAnsi="Calibri"/>
                <w:color w:val="000000"/>
                <w:sz w:val="32"/>
                <w:szCs w:val="32"/>
              </w:rPr>
              <w:t>0.50</w:t>
            </w:r>
          </w:p>
        </w:tc>
      </w:tr>
      <w:tr w:rsidR="000064C8" w:rsidRPr="003C0200" w14:paraId="653D4652"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484E5E49"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183FC34"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2018</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F6EF6A9"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EF98BD6"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6.315/6.270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667658E5" w14:textId="77777777" w:rsidR="000064C8" w:rsidRPr="003C0200" w:rsidRDefault="00646F24" w:rsidP="000064C8">
            <w:pPr>
              <w:jc w:val="center"/>
              <w:rPr>
                <w:rFonts w:ascii="Calibri" w:eastAsia="Times New Roman" w:hAnsi="Calibri" w:cs="Times New Roman"/>
                <w:color w:val="000000"/>
                <w:sz w:val="32"/>
                <w:szCs w:val="32"/>
                <w:lang w:eastAsia="en-GB"/>
              </w:rPr>
            </w:pPr>
            <w:r>
              <w:rPr>
                <w:rFonts w:ascii="Calibri" w:eastAsia="Times New Roman" w:hAnsi="Calibri"/>
                <w:color w:val="000000"/>
                <w:sz w:val="32"/>
                <w:szCs w:val="32"/>
              </w:rPr>
              <w:t>1.15</w:t>
            </w:r>
          </w:p>
        </w:tc>
      </w:tr>
      <w:tr w:rsidR="000064C8" w:rsidRPr="003C0200" w14:paraId="41977CC7"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7ABF9EAA"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436C8A9"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2019</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4BCBA42"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7425F07"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6.568/6.552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08445C59"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2.</w:t>
            </w:r>
            <w:r w:rsidR="00646F24">
              <w:rPr>
                <w:rFonts w:ascii="Calibri" w:eastAsia="Times New Roman" w:hAnsi="Calibri"/>
                <w:color w:val="000000"/>
                <w:sz w:val="32"/>
                <w:szCs w:val="32"/>
              </w:rPr>
              <w:t>07</w:t>
            </w:r>
          </w:p>
        </w:tc>
      </w:tr>
      <w:tr w:rsidR="000064C8" w:rsidRPr="003C0200" w14:paraId="0908E7FA"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6B9AABD7"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7BF573C"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2020</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28263A6"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3Y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F35C2C1"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6.637/6.611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1C7D2BE0" w14:textId="77777777" w:rsidR="000064C8" w:rsidRPr="003C0200" w:rsidRDefault="00266F9D" w:rsidP="000064C8">
            <w:pPr>
              <w:jc w:val="center"/>
              <w:rPr>
                <w:rFonts w:ascii="Calibri" w:eastAsia="Times New Roman" w:hAnsi="Calibri" w:cs="Times New Roman"/>
                <w:color w:val="000000"/>
                <w:sz w:val="32"/>
                <w:szCs w:val="32"/>
                <w:lang w:eastAsia="en-GB"/>
              </w:rPr>
            </w:pPr>
            <w:r>
              <w:rPr>
                <w:rFonts w:ascii="Calibri" w:eastAsia="Times New Roman" w:hAnsi="Calibri"/>
                <w:color w:val="000000"/>
                <w:sz w:val="32"/>
                <w:szCs w:val="32"/>
              </w:rPr>
              <w:t>2.</w:t>
            </w:r>
            <w:r w:rsidR="00646F24">
              <w:rPr>
                <w:rFonts w:ascii="Calibri" w:eastAsia="Times New Roman" w:hAnsi="Calibri"/>
                <w:color w:val="000000"/>
                <w:sz w:val="32"/>
                <w:szCs w:val="32"/>
              </w:rPr>
              <w:t>51</w:t>
            </w:r>
          </w:p>
        </w:tc>
      </w:tr>
      <w:tr w:rsidR="000064C8" w:rsidRPr="003C0200" w14:paraId="3ED01AEC"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35B80CC1"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0CE2506"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2021</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F6F3A03"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4Y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9114F0B"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6.871/6.857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08123D8E" w14:textId="77777777" w:rsidR="000064C8" w:rsidRPr="003C0200" w:rsidRDefault="00646F24" w:rsidP="000064C8">
            <w:pPr>
              <w:jc w:val="center"/>
              <w:rPr>
                <w:rFonts w:ascii="Calibri" w:eastAsia="Times New Roman" w:hAnsi="Calibri" w:cs="Times New Roman"/>
                <w:color w:val="000000"/>
                <w:sz w:val="32"/>
                <w:szCs w:val="32"/>
                <w:lang w:eastAsia="en-GB"/>
              </w:rPr>
            </w:pPr>
            <w:r>
              <w:rPr>
                <w:rFonts w:ascii="Calibri" w:eastAsia="Times New Roman" w:hAnsi="Calibri"/>
                <w:color w:val="000000"/>
                <w:sz w:val="32"/>
                <w:szCs w:val="32"/>
              </w:rPr>
              <w:t>4.19</w:t>
            </w:r>
          </w:p>
        </w:tc>
      </w:tr>
      <w:tr w:rsidR="000064C8" w:rsidRPr="003C0200" w14:paraId="1C6CCEC0"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50A59B43"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C4236C6"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2022</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33C372E"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5Y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81D8CE5"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6.880/6.863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70B2F4F8" w14:textId="77777777" w:rsidR="000064C8" w:rsidRPr="003C0200" w:rsidRDefault="00266F9D" w:rsidP="000064C8">
            <w:pPr>
              <w:jc w:val="center"/>
              <w:rPr>
                <w:rFonts w:ascii="Calibri" w:eastAsia="Times New Roman" w:hAnsi="Calibri" w:cs="Times New Roman"/>
                <w:color w:val="000000"/>
                <w:sz w:val="32"/>
                <w:szCs w:val="32"/>
                <w:lang w:eastAsia="en-GB"/>
              </w:rPr>
            </w:pPr>
            <w:r>
              <w:rPr>
                <w:rFonts w:ascii="Calibri" w:eastAsia="Times New Roman" w:hAnsi="Calibri"/>
                <w:color w:val="000000"/>
                <w:sz w:val="32"/>
                <w:szCs w:val="32"/>
              </w:rPr>
              <w:t>5.</w:t>
            </w:r>
            <w:r w:rsidR="00646F24">
              <w:rPr>
                <w:rFonts w:ascii="Calibri" w:eastAsia="Times New Roman" w:hAnsi="Calibri"/>
                <w:color w:val="000000"/>
                <w:sz w:val="32"/>
                <w:szCs w:val="32"/>
              </w:rPr>
              <w:t>03</w:t>
            </w:r>
          </w:p>
        </w:tc>
      </w:tr>
      <w:tr w:rsidR="000064C8" w:rsidRPr="003C0200" w14:paraId="30B629C7"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15444A95"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7EDFDC2"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2022</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02CEE32"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6Y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6BAAB3C"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6.986/6.968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52480A0B"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6.</w:t>
            </w:r>
            <w:r w:rsidR="00646F24">
              <w:rPr>
                <w:rFonts w:ascii="Calibri" w:eastAsia="Times New Roman" w:hAnsi="Calibri"/>
                <w:color w:val="000000"/>
                <w:sz w:val="32"/>
                <w:szCs w:val="32"/>
              </w:rPr>
              <w:t>02</w:t>
            </w:r>
          </w:p>
        </w:tc>
      </w:tr>
      <w:tr w:rsidR="000064C8" w:rsidRPr="003C0200" w14:paraId="7BDFC683"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576D92B4"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1A1F44F"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2023</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D264A46"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7Y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0FC3586"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7.049/7.04</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069E2435"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6.</w:t>
            </w:r>
            <w:r w:rsidR="00646F24">
              <w:rPr>
                <w:rFonts w:ascii="Calibri" w:eastAsia="Times New Roman" w:hAnsi="Calibri"/>
                <w:color w:val="000000"/>
                <w:sz w:val="32"/>
                <w:szCs w:val="32"/>
              </w:rPr>
              <w:t>54</w:t>
            </w:r>
          </w:p>
        </w:tc>
      </w:tr>
      <w:tr w:rsidR="000064C8" w:rsidRPr="003C0200" w14:paraId="0DD459A0"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52CF97CF"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0FFC2BC"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2025</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EDE544D"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8Y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254FC0B"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7.098/7.083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715610ED"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7.</w:t>
            </w:r>
            <w:r w:rsidR="00646F24">
              <w:rPr>
                <w:rFonts w:ascii="Calibri" w:eastAsia="Times New Roman" w:hAnsi="Calibri"/>
                <w:color w:val="000000"/>
                <w:sz w:val="32"/>
                <w:szCs w:val="32"/>
              </w:rPr>
              <w:t>47</w:t>
            </w:r>
          </w:p>
        </w:tc>
      </w:tr>
      <w:tr w:rsidR="000064C8" w:rsidRPr="003C0200" w14:paraId="53E30E6F"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267EF69D"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FC7B44F"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2026</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B5D1B48"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9Y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DEC783E"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7.286/7.265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13CDA942"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8.9</w:t>
            </w:r>
            <w:r w:rsidR="00646F24">
              <w:rPr>
                <w:rFonts w:ascii="Calibri" w:eastAsia="Times New Roman" w:hAnsi="Calibri"/>
                <w:color w:val="000000"/>
                <w:sz w:val="32"/>
                <w:szCs w:val="32"/>
              </w:rPr>
              <w:t>6</w:t>
            </w:r>
          </w:p>
        </w:tc>
      </w:tr>
      <w:tr w:rsidR="000064C8" w:rsidRPr="003C0200" w14:paraId="45D414A5"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48ADA0C6"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7FDADB6"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2026</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9FDFA87"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10Y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F80FDF6"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7.028/7.027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229B95F1"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9.</w:t>
            </w:r>
            <w:r w:rsidR="00646F24">
              <w:rPr>
                <w:rFonts w:ascii="Calibri" w:eastAsia="Times New Roman" w:hAnsi="Calibri"/>
                <w:color w:val="000000"/>
                <w:sz w:val="32"/>
                <w:szCs w:val="32"/>
              </w:rPr>
              <w:t>44</w:t>
            </w:r>
          </w:p>
        </w:tc>
      </w:tr>
      <w:tr w:rsidR="000064C8" w:rsidRPr="003C0200" w14:paraId="268D727E"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7428CC77"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C38D8DB"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2028</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BE42B7E"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11Y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B6543C2"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7.373/7.340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06E55228"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10.</w:t>
            </w:r>
            <w:r w:rsidR="00646F24">
              <w:rPr>
                <w:rFonts w:ascii="Calibri" w:eastAsia="Times New Roman" w:hAnsi="Calibri"/>
                <w:color w:val="000000"/>
                <w:sz w:val="32"/>
                <w:szCs w:val="32"/>
              </w:rPr>
              <w:t>49</w:t>
            </w:r>
          </w:p>
        </w:tc>
      </w:tr>
      <w:tr w:rsidR="000064C8" w:rsidRPr="003C0200" w14:paraId="5A2470E6"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1B6E1AD3"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A07DC54"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2029</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A9C6DE3"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12Y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E308277"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7.093/7.089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560A09BD"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12.</w:t>
            </w:r>
            <w:r w:rsidR="00646F24">
              <w:rPr>
                <w:rFonts w:ascii="Calibri" w:eastAsia="Times New Roman" w:hAnsi="Calibri"/>
                <w:color w:val="000000"/>
                <w:sz w:val="32"/>
                <w:szCs w:val="32"/>
              </w:rPr>
              <w:t>05</w:t>
            </w:r>
          </w:p>
        </w:tc>
      </w:tr>
      <w:tr w:rsidR="000064C8" w:rsidRPr="003C0200" w14:paraId="34741C83"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430C0E35"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089DB40"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2030</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3ACF17B"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13Y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CB8BD40" w14:textId="77777777" w:rsidR="000064C8" w:rsidRPr="00646F24" w:rsidRDefault="00C25262" w:rsidP="000064C8">
            <w:pPr>
              <w:jc w:val="center"/>
              <w:rPr>
                <w:rFonts w:eastAsia="Times New Roman" w:cstheme="minorHAnsi"/>
                <w:color w:val="000000"/>
                <w:sz w:val="32"/>
                <w:szCs w:val="32"/>
                <w:lang w:eastAsia="en-GB"/>
              </w:rPr>
            </w:pPr>
            <w:r w:rsidRPr="00646F24">
              <w:rPr>
                <w:rFonts w:eastAsia="Times New Roman" w:cstheme="minorHAnsi"/>
                <w:color w:val="000000"/>
                <w:sz w:val="32"/>
                <w:szCs w:val="32"/>
              </w:rPr>
              <w:t xml:space="preserve">  </w:t>
            </w:r>
            <w:r w:rsidR="00F63807" w:rsidRPr="00646F24">
              <w:rPr>
                <w:rFonts w:eastAsia="Times New Roman" w:cstheme="minorHAnsi"/>
                <w:color w:val="313132"/>
                <w:sz w:val="32"/>
                <w:szCs w:val="32"/>
              </w:rPr>
              <w:t xml:space="preserve">7.407/7.385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7640F140"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12.</w:t>
            </w:r>
            <w:r w:rsidR="00646F24">
              <w:rPr>
                <w:rFonts w:ascii="Calibri" w:eastAsia="Times New Roman" w:hAnsi="Calibri"/>
                <w:color w:val="000000"/>
                <w:sz w:val="32"/>
                <w:szCs w:val="32"/>
              </w:rPr>
              <w:t>42</w:t>
            </w:r>
          </w:p>
        </w:tc>
      </w:tr>
      <w:tr w:rsidR="000064C8" w:rsidRPr="003C0200" w14:paraId="5ADB8A1B"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65769598"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155D76A"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2030</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535C644"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14Y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B03E07E"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7.075/7.074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7EC807AE" w14:textId="77777777" w:rsidR="000064C8" w:rsidRPr="003C0200" w:rsidRDefault="00646F24" w:rsidP="000064C8">
            <w:pPr>
              <w:jc w:val="center"/>
              <w:rPr>
                <w:rFonts w:ascii="Calibri" w:eastAsia="Times New Roman" w:hAnsi="Calibri" w:cs="Times New Roman"/>
                <w:color w:val="000000"/>
                <w:sz w:val="32"/>
                <w:szCs w:val="32"/>
                <w:lang w:eastAsia="en-GB"/>
              </w:rPr>
            </w:pPr>
            <w:r>
              <w:rPr>
                <w:rFonts w:ascii="Calibri" w:eastAsia="Times New Roman" w:hAnsi="Calibri"/>
                <w:color w:val="000000"/>
                <w:sz w:val="32"/>
                <w:szCs w:val="32"/>
              </w:rPr>
              <w:t>13.7</w:t>
            </w:r>
            <w:r w:rsidR="00266F9D" w:rsidRPr="00266F9D">
              <w:rPr>
                <w:rFonts w:ascii="Calibri" w:eastAsia="Times New Roman" w:hAnsi="Calibri"/>
                <w:color w:val="000000"/>
                <w:sz w:val="32"/>
                <w:szCs w:val="32"/>
              </w:rPr>
              <w:t>8</w:t>
            </w:r>
          </w:p>
        </w:tc>
      </w:tr>
      <w:tr w:rsidR="000064C8" w:rsidRPr="003C0200" w14:paraId="761636BC"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334E1D3A"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6C417BB"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2032</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BCF3CB9"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15Y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8594C3E" w14:textId="77777777" w:rsidR="000064C8" w:rsidRPr="00646F24" w:rsidRDefault="00F63807"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7.475/7.452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34CEA17E" w14:textId="77777777" w:rsidR="004A6030" w:rsidRPr="004A6030" w:rsidRDefault="00646F24" w:rsidP="004A6030">
            <w:pPr>
              <w:jc w:val="center"/>
              <w:rPr>
                <w:rFonts w:ascii="Calibri" w:eastAsia="Times New Roman" w:hAnsi="Calibri"/>
                <w:color w:val="000000"/>
                <w:sz w:val="32"/>
                <w:szCs w:val="32"/>
              </w:rPr>
            </w:pPr>
            <w:r>
              <w:rPr>
                <w:rFonts w:ascii="Calibri" w:eastAsia="Times New Roman" w:hAnsi="Calibri"/>
                <w:color w:val="000000"/>
                <w:sz w:val="32"/>
                <w:szCs w:val="32"/>
              </w:rPr>
              <w:t>14.65</w:t>
            </w:r>
          </w:p>
        </w:tc>
      </w:tr>
      <w:tr w:rsidR="000064C8" w:rsidRPr="003C0200" w14:paraId="49293316" w14:textId="77777777" w:rsidTr="0097306C">
        <w:trPr>
          <w:trHeight w:val="436"/>
        </w:trPr>
        <w:tc>
          <w:tcPr>
            <w:tcW w:w="1320" w:type="dxa"/>
            <w:tcBorders>
              <w:top w:val="single" w:sz="4" w:space="0" w:color="FFFFFF"/>
              <w:left w:val="nil"/>
              <w:bottom w:val="single" w:sz="4" w:space="0" w:color="FFFFFF"/>
              <w:right w:val="single" w:sz="4" w:space="0" w:color="FFFFFF"/>
            </w:tcBorders>
            <w:shd w:val="clear" w:color="DDEBF7" w:fill="DDEBF7"/>
            <w:noWrap/>
            <w:vAlign w:val="bottom"/>
            <w:hideMark/>
          </w:tcPr>
          <w:p w14:paraId="4D3ED3F1"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E5591F3"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2035</w:t>
            </w:r>
          </w:p>
        </w:tc>
        <w:tc>
          <w:tcPr>
            <w:tcW w:w="130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3CD0978"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19Y</w:t>
            </w:r>
          </w:p>
        </w:tc>
        <w:tc>
          <w:tcPr>
            <w:tcW w:w="227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BF1138A" w14:textId="77777777" w:rsidR="000064C8" w:rsidRPr="00646F24" w:rsidRDefault="00C25262" w:rsidP="000064C8">
            <w:pPr>
              <w:jc w:val="center"/>
              <w:rPr>
                <w:rFonts w:eastAsia="Times New Roman" w:cstheme="minorHAnsi"/>
                <w:color w:val="000000"/>
                <w:sz w:val="32"/>
                <w:szCs w:val="32"/>
                <w:lang w:eastAsia="en-GB"/>
              </w:rPr>
            </w:pPr>
            <w:r w:rsidRPr="00646F24">
              <w:rPr>
                <w:rFonts w:eastAsia="Times New Roman" w:cstheme="minorHAnsi"/>
                <w:color w:val="000000"/>
                <w:sz w:val="32"/>
                <w:szCs w:val="32"/>
              </w:rPr>
              <w:t xml:space="preserve">  </w:t>
            </w:r>
            <w:r w:rsidR="00F63807" w:rsidRPr="00646F24">
              <w:rPr>
                <w:rFonts w:eastAsia="Times New Roman" w:cstheme="minorHAnsi"/>
                <w:color w:val="313132"/>
                <w:sz w:val="32"/>
                <w:szCs w:val="32"/>
              </w:rPr>
              <w:t xml:space="preserve">7.423/7.407   </w:t>
            </w:r>
          </w:p>
        </w:tc>
        <w:tc>
          <w:tcPr>
            <w:tcW w:w="2153" w:type="dxa"/>
            <w:tcBorders>
              <w:top w:val="single" w:sz="4" w:space="0" w:color="FFFFFF"/>
              <w:left w:val="single" w:sz="4" w:space="0" w:color="FFFFFF"/>
              <w:bottom w:val="single" w:sz="4" w:space="0" w:color="FFFFFF"/>
              <w:right w:val="nil"/>
            </w:tcBorders>
            <w:shd w:val="clear" w:color="DDEBF7" w:fill="DDEBF7"/>
            <w:noWrap/>
            <w:vAlign w:val="bottom"/>
            <w:hideMark/>
          </w:tcPr>
          <w:p w14:paraId="4A8771E5"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17.</w:t>
            </w:r>
            <w:r w:rsidR="00646F24">
              <w:rPr>
                <w:rFonts w:ascii="Calibri" w:eastAsia="Times New Roman" w:hAnsi="Calibri"/>
                <w:color w:val="000000"/>
                <w:sz w:val="32"/>
                <w:szCs w:val="32"/>
              </w:rPr>
              <w:t>76</w:t>
            </w:r>
          </w:p>
        </w:tc>
      </w:tr>
      <w:tr w:rsidR="000064C8" w:rsidRPr="003C0200" w14:paraId="0F2E76D6" w14:textId="77777777" w:rsidTr="000064C8">
        <w:trPr>
          <w:trHeight w:val="320"/>
        </w:trPr>
        <w:tc>
          <w:tcPr>
            <w:tcW w:w="1320" w:type="dxa"/>
            <w:tcBorders>
              <w:top w:val="single" w:sz="4" w:space="0" w:color="FFFFFF"/>
              <w:left w:val="nil"/>
              <w:bottom w:val="single" w:sz="4" w:space="0" w:color="FFFFFF"/>
              <w:right w:val="single" w:sz="4" w:space="0" w:color="FFFFFF"/>
            </w:tcBorders>
            <w:shd w:val="clear" w:color="BDD7EE" w:fill="BDD7EE"/>
            <w:noWrap/>
            <w:vAlign w:val="bottom"/>
            <w:hideMark/>
          </w:tcPr>
          <w:p w14:paraId="4C99A51D"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D60265F"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2041</w:t>
            </w:r>
          </w:p>
        </w:tc>
        <w:tc>
          <w:tcPr>
            <w:tcW w:w="130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CACE660"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24Y</w:t>
            </w:r>
          </w:p>
        </w:tc>
        <w:tc>
          <w:tcPr>
            <w:tcW w:w="227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00EBEE1" w14:textId="77777777" w:rsidR="000064C8" w:rsidRPr="00646F24" w:rsidRDefault="00646F24"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7.619/7.603   </w:t>
            </w:r>
          </w:p>
        </w:tc>
        <w:tc>
          <w:tcPr>
            <w:tcW w:w="2153" w:type="dxa"/>
            <w:tcBorders>
              <w:top w:val="single" w:sz="4" w:space="0" w:color="FFFFFF"/>
              <w:left w:val="single" w:sz="4" w:space="0" w:color="FFFFFF"/>
              <w:bottom w:val="single" w:sz="4" w:space="0" w:color="FFFFFF"/>
              <w:right w:val="nil"/>
            </w:tcBorders>
            <w:shd w:val="clear" w:color="BDD7EE" w:fill="BDD7EE"/>
            <w:noWrap/>
            <w:vAlign w:val="bottom"/>
            <w:hideMark/>
          </w:tcPr>
          <w:p w14:paraId="50BD7496"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24.</w:t>
            </w:r>
            <w:r w:rsidR="00646F24">
              <w:rPr>
                <w:rFonts w:ascii="Calibri" w:eastAsia="Times New Roman" w:hAnsi="Calibri"/>
                <w:color w:val="000000"/>
                <w:sz w:val="32"/>
                <w:szCs w:val="32"/>
              </w:rPr>
              <w:t>01</w:t>
            </w:r>
          </w:p>
        </w:tc>
      </w:tr>
      <w:tr w:rsidR="000064C8" w:rsidRPr="003C0200" w14:paraId="045F666F" w14:textId="77777777" w:rsidTr="000064C8">
        <w:trPr>
          <w:trHeight w:val="320"/>
        </w:trPr>
        <w:tc>
          <w:tcPr>
            <w:tcW w:w="1320" w:type="dxa"/>
            <w:tcBorders>
              <w:top w:val="single" w:sz="4" w:space="0" w:color="FFFFFF"/>
              <w:left w:val="nil"/>
              <w:bottom w:val="nil"/>
              <w:right w:val="single" w:sz="4" w:space="0" w:color="FFFFFF"/>
            </w:tcBorders>
            <w:shd w:val="clear" w:color="DDEBF7" w:fill="DDEBF7"/>
            <w:noWrap/>
            <w:vAlign w:val="bottom"/>
            <w:hideMark/>
          </w:tcPr>
          <w:p w14:paraId="0491B6C7"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GOI</w:t>
            </w:r>
          </w:p>
        </w:tc>
        <w:tc>
          <w:tcPr>
            <w:tcW w:w="1300" w:type="dxa"/>
            <w:tcBorders>
              <w:top w:val="single" w:sz="4" w:space="0" w:color="FFFFFF"/>
              <w:left w:val="single" w:sz="4" w:space="0" w:color="FFFFFF"/>
              <w:bottom w:val="nil"/>
              <w:right w:val="single" w:sz="4" w:space="0" w:color="FFFFFF"/>
            </w:tcBorders>
            <w:shd w:val="clear" w:color="DDEBF7" w:fill="DDEBF7"/>
            <w:noWrap/>
            <w:vAlign w:val="bottom"/>
            <w:hideMark/>
          </w:tcPr>
          <w:p w14:paraId="651DAB42"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2046</w:t>
            </w:r>
          </w:p>
        </w:tc>
        <w:tc>
          <w:tcPr>
            <w:tcW w:w="1300" w:type="dxa"/>
            <w:tcBorders>
              <w:top w:val="single" w:sz="4" w:space="0" w:color="FFFFFF"/>
              <w:left w:val="single" w:sz="4" w:space="0" w:color="FFFFFF"/>
              <w:bottom w:val="nil"/>
              <w:right w:val="single" w:sz="4" w:space="0" w:color="FFFFFF"/>
            </w:tcBorders>
            <w:shd w:val="clear" w:color="DDEBF7" w:fill="DDEBF7"/>
            <w:noWrap/>
            <w:vAlign w:val="bottom"/>
            <w:hideMark/>
          </w:tcPr>
          <w:p w14:paraId="3E40014E" w14:textId="77777777" w:rsidR="000064C8" w:rsidRPr="003C0200" w:rsidRDefault="000064C8" w:rsidP="000064C8">
            <w:pPr>
              <w:jc w:val="center"/>
              <w:rPr>
                <w:rFonts w:ascii="Calibri" w:eastAsia="Times New Roman" w:hAnsi="Calibri" w:cs="Times New Roman"/>
                <w:color w:val="000000"/>
                <w:sz w:val="32"/>
                <w:szCs w:val="32"/>
                <w:lang w:eastAsia="en-GB"/>
              </w:rPr>
            </w:pPr>
            <w:r w:rsidRPr="000064C8">
              <w:rPr>
                <w:rFonts w:ascii="Calibri" w:eastAsia="Times New Roman" w:hAnsi="Calibri"/>
                <w:color w:val="000000"/>
                <w:sz w:val="32"/>
                <w:szCs w:val="32"/>
              </w:rPr>
              <w:t>30Y</w:t>
            </w:r>
          </w:p>
        </w:tc>
        <w:tc>
          <w:tcPr>
            <w:tcW w:w="2270" w:type="dxa"/>
            <w:tcBorders>
              <w:top w:val="single" w:sz="4" w:space="0" w:color="FFFFFF"/>
              <w:left w:val="single" w:sz="4" w:space="0" w:color="FFFFFF"/>
              <w:bottom w:val="nil"/>
              <w:right w:val="single" w:sz="4" w:space="0" w:color="FFFFFF"/>
            </w:tcBorders>
            <w:shd w:val="clear" w:color="DDEBF7" w:fill="DDEBF7"/>
            <w:noWrap/>
            <w:vAlign w:val="bottom"/>
            <w:hideMark/>
          </w:tcPr>
          <w:p w14:paraId="387EF09E" w14:textId="77777777" w:rsidR="000064C8" w:rsidRPr="00646F24" w:rsidRDefault="00646F24" w:rsidP="000064C8">
            <w:pPr>
              <w:jc w:val="center"/>
              <w:rPr>
                <w:rFonts w:eastAsia="Times New Roman" w:cstheme="minorHAnsi"/>
                <w:color w:val="000000"/>
                <w:sz w:val="32"/>
                <w:szCs w:val="32"/>
                <w:lang w:eastAsia="en-GB"/>
              </w:rPr>
            </w:pPr>
            <w:r w:rsidRPr="00646F24">
              <w:rPr>
                <w:rFonts w:eastAsia="Times New Roman" w:cstheme="minorHAnsi"/>
                <w:color w:val="313132"/>
                <w:sz w:val="32"/>
                <w:szCs w:val="32"/>
              </w:rPr>
              <w:t xml:space="preserve">7.431/7.414   </w:t>
            </w:r>
          </w:p>
        </w:tc>
        <w:tc>
          <w:tcPr>
            <w:tcW w:w="2153" w:type="dxa"/>
            <w:tcBorders>
              <w:top w:val="single" w:sz="4" w:space="0" w:color="FFFFFF"/>
              <w:left w:val="single" w:sz="4" w:space="0" w:color="FFFFFF"/>
              <w:bottom w:val="nil"/>
              <w:right w:val="nil"/>
            </w:tcBorders>
            <w:shd w:val="clear" w:color="DDEBF7" w:fill="DDEBF7"/>
            <w:noWrap/>
            <w:vAlign w:val="bottom"/>
            <w:hideMark/>
          </w:tcPr>
          <w:p w14:paraId="78E1AAB9" w14:textId="77777777" w:rsidR="000064C8" w:rsidRPr="003C0200" w:rsidRDefault="00266F9D" w:rsidP="000064C8">
            <w:pPr>
              <w:jc w:val="center"/>
              <w:rPr>
                <w:rFonts w:ascii="Calibri" w:eastAsia="Times New Roman" w:hAnsi="Calibri" w:cs="Times New Roman"/>
                <w:color w:val="000000"/>
                <w:sz w:val="32"/>
                <w:szCs w:val="32"/>
                <w:lang w:eastAsia="en-GB"/>
              </w:rPr>
            </w:pPr>
            <w:r w:rsidRPr="00266F9D">
              <w:rPr>
                <w:rFonts w:ascii="Calibri" w:eastAsia="Times New Roman" w:hAnsi="Calibri"/>
                <w:color w:val="000000"/>
                <w:sz w:val="32"/>
                <w:szCs w:val="32"/>
              </w:rPr>
              <w:t>2</w:t>
            </w:r>
            <w:r w:rsidR="00646F24">
              <w:rPr>
                <w:rFonts w:ascii="Calibri" w:eastAsia="Times New Roman" w:hAnsi="Calibri"/>
                <w:color w:val="000000"/>
                <w:sz w:val="32"/>
                <w:szCs w:val="32"/>
              </w:rPr>
              <w:t>8.84</w:t>
            </w:r>
          </w:p>
        </w:tc>
      </w:tr>
    </w:tbl>
    <w:p w14:paraId="5AE9611A" w14:textId="77777777" w:rsidR="00FB30C3" w:rsidRDefault="00FB30C3" w:rsidP="00FB30C3">
      <w:pPr>
        <w:pStyle w:val="NormalWeb"/>
        <w:spacing w:before="0" w:beforeAutospacing="0" w:after="0" w:afterAutospacing="0"/>
        <w:jc w:val="both"/>
        <w:rPr>
          <w:rFonts w:asciiTheme="minorHAnsi" w:hAnsiTheme="minorHAnsi" w:cstheme="minorBidi"/>
          <w:sz w:val="22"/>
          <w:szCs w:val="28"/>
          <w:lang w:eastAsia="en-US"/>
        </w:rPr>
      </w:pPr>
      <w:r>
        <w:rPr>
          <w:rFonts w:asciiTheme="minorHAnsi" w:hAnsiTheme="minorHAnsi" w:cstheme="minorBidi"/>
          <w:sz w:val="22"/>
          <w:szCs w:val="28"/>
          <w:lang w:eastAsia="en-US"/>
        </w:rPr>
        <w:tab/>
      </w:r>
    </w:p>
    <w:p w14:paraId="463F05CD" w14:textId="77777777" w:rsidR="00FB30C3" w:rsidRDefault="00FB30C3" w:rsidP="000064C8">
      <w:pPr>
        <w:pStyle w:val="NormalWeb"/>
        <w:spacing w:before="0" w:beforeAutospacing="0" w:after="0" w:afterAutospacing="0"/>
        <w:jc w:val="both"/>
        <w:rPr>
          <w:rFonts w:asciiTheme="minorHAnsi" w:hAnsiTheme="minorHAnsi" w:cstheme="minorBidi"/>
          <w:sz w:val="22"/>
          <w:szCs w:val="28"/>
          <w:lang w:eastAsia="en-US"/>
        </w:rPr>
      </w:pPr>
      <w:r w:rsidRPr="000064C8">
        <w:rPr>
          <w:rFonts w:asciiTheme="minorHAnsi" w:hAnsiTheme="minorHAnsi" w:cstheme="minorBidi"/>
          <w:b/>
          <w:sz w:val="22"/>
          <w:szCs w:val="28"/>
          <w:lang w:eastAsia="en-US"/>
        </w:rPr>
        <w:t>GOI</w:t>
      </w:r>
      <w:r>
        <w:rPr>
          <w:rFonts w:asciiTheme="minorHAnsi" w:hAnsiTheme="minorHAnsi" w:cstheme="minorBidi"/>
          <w:sz w:val="22"/>
          <w:szCs w:val="28"/>
          <w:lang w:eastAsia="en-US"/>
        </w:rPr>
        <w:t xml:space="preserve"> – Government of India. </w:t>
      </w:r>
    </w:p>
    <w:p w14:paraId="7ACE5DC4" w14:textId="77777777" w:rsidR="00FB30C3" w:rsidRDefault="00FB30C3" w:rsidP="000064C8">
      <w:pPr>
        <w:pStyle w:val="NormalWeb"/>
        <w:spacing w:before="0" w:beforeAutospacing="0" w:after="0" w:afterAutospacing="0"/>
        <w:jc w:val="both"/>
        <w:rPr>
          <w:rFonts w:asciiTheme="minorHAnsi" w:hAnsiTheme="minorHAnsi" w:cstheme="minorBidi"/>
          <w:sz w:val="22"/>
          <w:szCs w:val="28"/>
          <w:lang w:eastAsia="en-US"/>
        </w:rPr>
      </w:pPr>
      <w:r w:rsidRPr="000064C8">
        <w:rPr>
          <w:rFonts w:asciiTheme="minorHAnsi" w:hAnsiTheme="minorHAnsi" w:cstheme="minorBidi"/>
          <w:b/>
          <w:sz w:val="22"/>
          <w:szCs w:val="28"/>
          <w:lang w:eastAsia="en-US"/>
        </w:rPr>
        <w:t>Yield range</w:t>
      </w:r>
      <w:r>
        <w:rPr>
          <w:rFonts w:asciiTheme="minorHAnsi" w:hAnsiTheme="minorHAnsi" w:cstheme="minorBidi"/>
          <w:sz w:val="22"/>
          <w:szCs w:val="28"/>
          <w:lang w:eastAsia="en-US"/>
        </w:rPr>
        <w:t xml:space="preserve"> indicates the high and low ceiling. </w:t>
      </w:r>
    </w:p>
    <w:p w14:paraId="59F00F4E" w14:textId="77777777" w:rsidR="009C6535" w:rsidRDefault="009C6535" w:rsidP="000064C8">
      <w:pPr>
        <w:pStyle w:val="NormalWeb"/>
        <w:spacing w:before="0" w:beforeAutospacing="0" w:after="0" w:afterAutospacing="0"/>
        <w:jc w:val="both"/>
        <w:rPr>
          <w:rFonts w:asciiTheme="minorHAnsi" w:hAnsiTheme="minorHAnsi" w:cstheme="minorBidi"/>
          <w:sz w:val="22"/>
          <w:szCs w:val="28"/>
          <w:lang w:eastAsia="en-US"/>
        </w:rPr>
      </w:pPr>
    </w:p>
    <w:p w14:paraId="6987FAC6" w14:textId="77777777" w:rsidR="000064C8" w:rsidRDefault="000064C8" w:rsidP="009C6535">
      <w:pPr>
        <w:pStyle w:val="NormalWeb"/>
        <w:spacing w:before="0" w:beforeAutospacing="0" w:after="0" w:afterAutospacing="0"/>
        <w:jc w:val="both"/>
        <w:rPr>
          <w:rFonts w:asciiTheme="minorHAnsi" w:hAnsiTheme="minorHAnsi" w:cstheme="minorBidi"/>
          <w:sz w:val="22"/>
          <w:szCs w:val="28"/>
          <w:lang w:eastAsia="en-US"/>
        </w:rPr>
      </w:pPr>
      <w:r>
        <w:rPr>
          <w:rFonts w:asciiTheme="minorHAnsi" w:hAnsiTheme="minorHAnsi" w:cstheme="minorBidi"/>
          <w:sz w:val="22"/>
          <w:szCs w:val="28"/>
          <w:lang w:eastAsia="en-US"/>
        </w:rPr>
        <w:t>Source</w:t>
      </w:r>
      <w:r w:rsidR="009C6535">
        <w:rPr>
          <w:rFonts w:asciiTheme="minorHAnsi" w:hAnsiTheme="minorHAnsi" w:cstheme="minorBidi"/>
          <w:sz w:val="22"/>
          <w:szCs w:val="28"/>
          <w:lang w:eastAsia="en-US"/>
        </w:rPr>
        <w:t>s</w:t>
      </w:r>
      <w:r>
        <w:rPr>
          <w:rFonts w:asciiTheme="minorHAnsi" w:hAnsiTheme="minorHAnsi" w:cstheme="minorBidi"/>
          <w:sz w:val="22"/>
          <w:szCs w:val="28"/>
          <w:lang w:eastAsia="en-US"/>
        </w:rPr>
        <w:t xml:space="preserve">: </w:t>
      </w:r>
    </w:p>
    <w:p w14:paraId="20AC7D29" w14:textId="77777777" w:rsidR="009C6535" w:rsidRPr="009C6535" w:rsidRDefault="00417068" w:rsidP="009C6535">
      <w:pPr>
        <w:pStyle w:val="NormalWeb"/>
        <w:spacing w:before="0" w:beforeAutospacing="0" w:after="0" w:afterAutospacing="0"/>
        <w:jc w:val="both"/>
        <w:rPr>
          <w:rFonts w:asciiTheme="minorHAnsi" w:hAnsiTheme="minorHAnsi" w:cstheme="minorBidi"/>
          <w:sz w:val="16"/>
          <w:szCs w:val="16"/>
          <w:lang w:eastAsia="en-US"/>
        </w:rPr>
      </w:pPr>
      <w:hyperlink r:id="rId9" w:history="1">
        <w:r w:rsidR="009C6535" w:rsidRPr="009C6535">
          <w:rPr>
            <w:rStyle w:val="Hyperlink"/>
            <w:rFonts w:asciiTheme="minorHAnsi" w:hAnsiTheme="minorHAnsi" w:cstheme="minorBidi"/>
            <w:sz w:val="16"/>
            <w:szCs w:val="16"/>
            <w:lang w:eastAsia="en-US"/>
          </w:rPr>
          <w:t>https://www.bloomberg.com/quote/GIND10YR:IND</w:t>
        </w:r>
      </w:hyperlink>
    </w:p>
    <w:p w14:paraId="4483A7D4" w14:textId="77777777" w:rsidR="007B737A" w:rsidRPr="007B737A" w:rsidRDefault="007B737A" w:rsidP="007B737A">
      <w:pPr>
        <w:pStyle w:val="NormalWeb"/>
        <w:spacing w:before="0" w:beforeAutospacing="0" w:after="0" w:afterAutospacing="0"/>
        <w:jc w:val="both"/>
        <w:rPr>
          <w:rStyle w:val="Hyperlink"/>
          <w:rFonts w:asciiTheme="minorHAnsi" w:hAnsiTheme="minorHAnsi" w:cstheme="minorBidi"/>
          <w:sz w:val="16"/>
          <w:szCs w:val="16"/>
          <w:lang w:eastAsia="en-US"/>
        </w:rPr>
      </w:pPr>
      <w:hyperlink r:id="rId10" w:history="1">
        <w:r w:rsidRPr="007B737A">
          <w:rPr>
            <w:rStyle w:val="Hyperlink"/>
            <w:rFonts w:asciiTheme="minorHAnsi" w:hAnsiTheme="minorHAnsi" w:cstheme="minorBidi"/>
            <w:sz w:val="16"/>
            <w:szCs w:val="16"/>
            <w:lang w:eastAsia="en-US"/>
          </w:rPr>
          <w:t>https://in.reuters.com/article/markets-india-gilts-table/table-thomson-reuters-reference-rates-for-india-gilts-idINL3N1O73T6</w:t>
        </w:r>
      </w:hyperlink>
      <w:r w:rsidRPr="007B737A">
        <w:rPr>
          <w:rStyle w:val="Hyperlink"/>
          <w:rFonts w:asciiTheme="minorHAnsi" w:hAnsiTheme="minorHAnsi" w:cstheme="minorBidi"/>
          <w:sz w:val="16"/>
          <w:szCs w:val="16"/>
          <w:lang w:eastAsia="en-US"/>
        </w:rPr>
        <w:t xml:space="preserve"> </w:t>
      </w:r>
    </w:p>
    <w:p w14:paraId="022D4EFF" w14:textId="09CA53D3" w:rsidR="00E912E4" w:rsidRPr="00C63783" w:rsidRDefault="00E912E4" w:rsidP="00E912E4">
      <w:pPr>
        <w:pStyle w:val="NormalWeb"/>
        <w:jc w:val="both"/>
        <w:rPr>
          <w:rFonts w:asciiTheme="minorHAnsi" w:hAnsiTheme="minorHAnsi" w:cstheme="minorBidi"/>
          <w:sz w:val="14"/>
          <w:szCs w:val="14"/>
          <w:lang w:eastAsia="en-US"/>
        </w:rPr>
      </w:pPr>
      <w:bookmarkStart w:id="0" w:name="_GoBack"/>
      <w:bookmarkEnd w:id="0"/>
      <w:r w:rsidRPr="00C63783">
        <w:rPr>
          <w:rFonts w:asciiTheme="minorHAnsi" w:hAnsiTheme="minorHAnsi" w:cstheme="minorBidi"/>
          <w:sz w:val="14"/>
          <w:szCs w:val="14"/>
          <w:lang w:eastAsia="en-US"/>
        </w:rPr>
        <w:t xml:space="preserve">Disclaimer: The information provided in this document is for informational purposes only, and the same may be incomplete, incorrect or outdated. None of the information provided herein should be used to replace official documents, nor shall it be used to substitute the advice of a qualified professional. Nothing herein constitutes a contract, an agreement or any other form of legal binding with the representatives of Armstrong International. </w:t>
      </w:r>
      <w:r w:rsidR="000064C8" w:rsidRPr="00C63783">
        <w:rPr>
          <w:rFonts w:asciiTheme="minorHAnsi" w:hAnsiTheme="minorHAnsi" w:cstheme="minorBidi"/>
          <w:sz w:val="14"/>
          <w:szCs w:val="14"/>
          <w:lang w:eastAsia="en-US"/>
        </w:rPr>
        <w:t xml:space="preserve">No representative of Armstrong International is liable in any body of law, for anything stated herein. Any </w:t>
      </w:r>
      <w:r w:rsidRPr="00C63783">
        <w:rPr>
          <w:rFonts w:asciiTheme="minorHAnsi" w:hAnsiTheme="minorHAnsi" w:cstheme="minorBidi"/>
          <w:sz w:val="14"/>
          <w:szCs w:val="14"/>
          <w:lang w:eastAsia="en-US"/>
        </w:rPr>
        <w:t>references</w:t>
      </w:r>
      <w:r w:rsidR="000064C8" w:rsidRPr="00C63783">
        <w:rPr>
          <w:rFonts w:asciiTheme="minorHAnsi" w:hAnsiTheme="minorHAnsi" w:cstheme="minorBidi"/>
          <w:sz w:val="14"/>
          <w:szCs w:val="14"/>
          <w:lang w:eastAsia="en-US"/>
        </w:rPr>
        <w:t xml:space="preserve"> </w:t>
      </w:r>
      <w:proofErr w:type="spellStart"/>
      <w:r w:rsidR="000064C8" w:rsidRPr="00C63783">
        <w:rPr>
          <w:rFonts w:asciiTheme="minorHAnsi" w:hAnsiTheme="minorHAnsi" w:cstheme="minorBidi"/>
          <w:sz w:val="14"/>
          <w:szCs w:val="14"/>
          <w:lang w:eastAsia="en-US"/>
        </w:rPr>
        <w:t>herein</w:t>
      </w:r>
      <w:r w:rsidR="009C6535" w:rsidRPr="00C63783">
        <w:rPr>
          <w:rFonts w:asciiTheme="minorHAnsi" w:hAnsiTheme="minorHAnsi" w:cstheme="minorBidi"/>
          <w:sz w:val="14"/>
          <w:szCs w:val="14"/>
          <w:lang w:eastAsia="en-US"/>
        </w:rPr>
        <w:t>do</w:t>
      </w:r>
      <w:proofErr w:type="spellEnd"/>
      <w:r w:rsidRPr="00C63783">
        <w:rPr>
          <w:rFonts w:asciiTheme="minorHAnsi" w:hAnsiTheme="minorHAnsi" w:cstheme="minorBidi"/>
          <w:sz w:val="14"/>
          <w:szCs w:val="14"/>
          <w:lang w:eastAsia="en-US"/>
        </w:rPr>
        <w:t xml:space="preserve"> not imply endorsements or support of the </w:t>
      </w:r>
      <w:proofErr w:type="spellStart"/>
      <w:r w:rsidR="00703BDB">
        <w:rPr>
          <w:rFonts w:asciiTheme="minorHAnsi" w:hAnsiTheme="minorHAnsi" w:cstheme="minorBidi"/>
          <w:sz w:val="14"/>
          <w:szCs w:val="14"/>
          <w:lang w:eastAsia="en-US"/>
        </w:rPr>
        <w:t>referred</w:t>
      </w:r>
      <w:r w:rsidRPr="00C63783">
        <w:rPr>
          <w:rFonts w:asciiTheme="minorHAnsi" w:hAnsiTheme="minorHAnsi" w:cstheme="minorBidi"/>
          <w:sz w:val="14"/>
          <w:szCs w:val="14"/>
          <w:lang w:eastAsia="en-US"/>
        </w:rPr>
        <w:t>products</w:t>
      </w:r>
      <w:proofErr w:type="spellEnd"/>
      <w:r w:rsidR="000064C8" w:rsidRPr="00C63783">
        <w:rPr>
          <w:rFonts w:asciiTheme="minorHAnsi" w:hAnsiTheme="minorHAnsi" w:cstheme="minorBidi"/>
          <w:sz w:val="14"/>
          <w:szCs w:val="14"/>
          <w:lang w:eastAsia="en-US"/>
        </w:rPr>
        <w:t xml:space="preserve"> or services. </w:t>
      </w:r>
    </w:p>
    <w:sectPr w:rsidR="00E912E4" w:rsidRPr="00C63783" w:rsidSect="006269A0">
      <w:footerReference w:type="defaul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44F6E56" w14:textId="77777777" w:rsidR="00417068" w:rsidRDefault="00417068" w:rsidP="00022568">
      <w:r>
        <w:separator/>
      </w:r>
    </w:p>
  </w:endnote>
  <w:endnote w:type="continuationSeparator" w:id="0">
    <w:p w14:paraId="32214F3A" w14:textId="77777777" w:rsidR="00417068" w:rsidRDefault="00417068" w:rsidP="0002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MT">
    <w:altName w:val="Arial"/>
    <w:charset w:val="00"/>
    <w:family w:val="auto"/>
    <w:pitch w:val="variable"/>
    <w:sig w:usb0="00000000"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8972" w14:textId="77777777" w:rsidR="00E912E4" w:rsidRDefault="00E912E4">
    <w:pPr>
      <w:pStyle w:val="Footer"/>
      <w:rPr>
        <w:lang w:val="en-US"/>
      </w:rPr>
    </w:pPr>
    <w:r>
      <w:rPr>
        <w:lang w:val="en-US"/>
      </w:rPr>
      <w:t>For more information</w:t>
    </w:r>
    <w:r w:rsidR="000F7991">
      <w:rPr>
        <w:lang w:val="en-US"/>
      </w:rPr>
      <w:t xml:space="preserve"> on this subject</w:t>
    </w:r>
    <w:r>
      <w:rPr>
        <w:lang w:val="en-US"/>
      </w:rPr>
      <w:t xml:space="preserve">, please </w:t>
    </w:r>
    <w:r w:rsidR="000F7991">
      <w:rPr>
        <w:lang w:val="en-US"/>
      </w:rPr>
      <w:t>write</w:t>
    </w:r>
    <w:r>
      <w:rPr>
        <w:lang w:val="en-US"/>
      </w:rPr>
      <w:t xml:space="preserve"> to us at </w:t>
    </w:r>
    <w:hyperlink r:id="rId1" w:history="1">
      <w:r w:rsidRPr="0034076C">
        <w:rPr>
          <w:rStyle w:val="Hyperlink"/>
          <w:lang w:val="en-US"/>
        </w:rPr>
        <w:t>mail@consultactuary.com</w:t>
      </w:r>
    </w:hyperlink>
  </w:p>
  <w:p w14:paraId="0B03868D" w14:textId="77777777" w:rsidR="00E912E4" w:rsidRPr="00E912E4" w:rsidRDefault="000F7991">
    <w:pPr>
      <w:pStyle w:val="Footer"/>
      <w:rPr>
        <w:lang w:val="en-US"/>
      </w:rPr>
    </w:pPr>
    <w:r>
      <w:rPr>
        <w:lang w:val="en-US"/>
      </w:rPr>
      <w:t>Prop</w:t>
    </w:r>
    <w:r w:rsidR="009C6535">
      <w:rPr>
        <w:lang w:val="en-US"/>
      </w:rPr>
      <w:t xml:space="preserve">erty of Armstrong International.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BF9B" w14:textId="77777777" w:rsidR="00D136F1" w:rsidRPr="00D136F1" w:rsidRDefault="00417068" w:rsidP="008E14BE">
    <w:pPr>
      <w:pStyle w:val="Footer"/>
      <w:jc w:val="right"/>
      <w:rPr>
        <w:sz w:val="28"/>
        <w:lang w:val="en-US"/>
      </w:rPr>
    </w:pPr>
    <w:hyperlink r:id="rId1" w:history="1">
      <w:r w:rsidR="00D136F1" w:rsidRPr="008E14BE">
        <w:rPr>
          <w:rStyle w:val="Hyperlink"/>
          <w:sz w:val="28"/>
          <w:u w:val="none"/>
          <w:lang w:val="en-US"/>
        </w:rPr>
        <w:t>www.consultactuary.com</w:t>
      </w:r>
    </w:hyperlink>
    <w:r w:rsidR="008E14BE" w:rsidRPr="008E14BE">
      <w:rPr>
        <w:rStyle w:val="Hyperlink"/>
        <w:sz w:val="28"/>
        <w:u w:val="none"/>
        <w:lang w:val="en-US"/>
      </w:rPr>
      <w:t xml:space="preserve">    </w:t>
    </w:r>
    <w:r w:rsidR="00D136F1" w:rsidRPr="00D136F1">
      <w:rPr>
        <w:sz w:val="28"/>
        <w:lang w:val="en-US"/>
      </w:rPr>
      <w:tab/>
    </w:r>
    <w:r w:rsidR="008E14BE">
      <w:rPr>
        <w:sz w:val="28"/>
        <w:lang w:val="en-US"/>
      </w:rPr>
      <w:t xml:space="preserve">                                              </w:t>
    </w:r>
    <w:r w:rsidR="00D136F1" w:rsidRPr="00D136F1">
      <w:rPr>
        <w:sz w:val="28"/>
        <w:lang w:val="en-US"/>
      </w:rPr>
      <w:t>N Srinivasan (FIAI</w:t>
    </w:r>
    <w:r w:rsidR="008E14BE">
      <w:rPr>
        <w:sz w:val="28"/>
        <w:lang w:val="en-US"/>
      </w:rPr>
      <w:t>)</w:t>
    </w:r>
    <w:r w:rsidR="00D136F1" w:rsidRPr="00D136F1">
      <w:rPr>
        <w:sz w:val="28"/>
        <w:lang w:val="en-US"/>
      </w:rPr>
      <w:tab/>
    </w:r>
    <w:r w:rsidR="00D136F1" w:rsidRPr="00D136F1">
      <w:rPr>
        <w:sz w:val="28"/>
        <w:lang w:val="en-US"/>
      </w:rPr>
      <w:tab/>
    </w:r>
  </w:p>
  <w:p w14:paraId="33CE6D2F" w14:textId="77777777" w:rsidR="00D136F1" w:rsidRPr="00D136F1" w:rsidRDefault="00D136F1">
    <w:pPr>
      <w:pStyle w:val="Footer"/>
      <w:rPr>
        <w:sz w:val="2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992AFC3" w14:textId="77777777" w:rsidR="00417068" w:rsidRDefault="00417068" w:rsidP="00022568">
      <w:r>
        <w:separator/>
      </w:r>
    </w:p>
  </w:footnote>
  <w:footnote w:type="continuationSeparator" w:id="0">
    <w:p w14:paraId="21BD237B" w14:textId="77777777" w:rsidR="00417068" w:rsidRDefault="00417068" w:rsidP="000225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7742C58"/>
    <w:multiLevelType w:val="multilevel"/>
    <w:tmpl w:val="D0A014BA"/>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F56C24"/>
    <w:multiLevelType w:val="multilevel"/>
    <w:tmpl w:val="DB5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21486"/>
    <w:multiLevelType w:val="multilevel"/>
    <w:tmpl w:val="3F44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12113"/>
    <w:multiLevelType w:val="hybridMultilevel"/>
    <w:tmpl w:val="8CD2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69A0"/>
    <w:rsid w:val="00005CAA"/>
    <w:rsid w:val="000064C8"/>
    <w:rsid w:val="00022568"/>
    <w:rsid w:val="00023AEF"/>
    <w:rsid w:val="0002456F"/>
    <w:rsid w:val="000662EF"/>
    <w:rsid w:val="00081E32"/>
    <w:rsid w:val="000F7991"/>
    <w:rsid w:val="0015367F"/>
    <w:rsid w:val="0016374E"/>
    <w:rsid w:val="00227369"/>
    <w:rsid w:val="002468B5"/>
    <w:rsid w:val="00266F9D"/>
    <w:rsid w:val="00277CCF"/>
    <w:rsid w:val="002B1298"/>
    <w:rsid w:val="002F6991"/>
    <w:rsid w:val="003C0200"/>
    <w:rsid w:val="003E49D9"/>
    <w:rsid w:val="00415B0E"/>
    <w:rsid w:val="00417068"/>
    <w:rsid w:val="004610D0"/>
    <w:rsid w:val="00465E09"/>
    <w:rsid w:val="00480EC3"/>
    <w:rsid w:val="004A6030"/>
    <w:rsid w:val="004B107A"/>
    <w:rsid w:val="004C34E9"/>
    <w:rsid w:val="004E6963"/>
    <w:rsid w:val="00540EDD"/>
    <w:rsid w:val="00587EC9"/>
    <w:rsid w:val="005A4C74"/>
    <w:rsid w:val="005B58F7"/>
    <w:rsid w:val="005E1883"/>
    <w:rsid w:val="00621DD2"/>
    <w:rsid w:val="006269A0"/>
    <w:rsid w:val="00631ACF"/>
    <w:rsid w:val="006459F8"/>
    <w:rsid w:val="00646F24"/>
    <w:rsid w:val="00693F42"/>
    <w:rsid w:val="006E1CA6"/>
    <w:rsid w:val="00703BDB"/>
    <w:rsid w:val="00736641"/>
    <w:rsid w:val="00741C74"/>
    <w:rsid w:val="007A59FD"/>
    <w:rsid w:val="007B737A"/>
    <w:rsid w:val="007D0EE1"/>
    <w:rsid w:val="0082315A"/>
    <w:rsid w:val="008308D5"/>
    <w:rsid w:val="00832701"/>
    <w:rsid w:val="008B5F69"/>
    <w:rsid w:val="008D3A4A"/>
    <w:rsid w:val="008E14BE"/>
    <w:rsid w:val="0090250C"/>
    <w:rsid w:val="009275FA"/>
    <w:rsid w:val="00942E71"/>
    <w:rsid w:val="00961557"/>
    <w:rsid w:val="0097306C"/>
    <w:rsid w:val="00980A56"/>
    <w:rsid w:val="009945EE"/>
    <w:rsid w:val="009C6535"/>
    <w:rsid w:val="00A23268"/>
    <w:rsid w:val="00A97DCC"/>
    <w:rsid w:val="00C11312"/>
    <w:rsid w:val="00C15203"/>
    <w:rsid w:val="00C25262"/>
    <w:rsid w:val="00C63783"/>
    <w:rsid w:val="00CF3E10"/>
    <w:rsid w:val="00D04E98"/>
    <w:rsid w:val="00D136F1"/>
    <w:rsid w:val="00D31161"/>
    <w:rsid w:val="00D67351"/>
    <w:rsid w:val="00D82FBF"/>
    <w:rsid w:val="00DB212E"/>
    <w:rsid w:val="00DD62AA"/>
    <w:rsid w:val="00DE58D8"/>
    <w:rsid w:val="00E912E4"/>
    <w:rsid w:val="00EA4866"/>
    <w:rsid w:val="00F63807"/>
    <w:rsid w:val="00FB30C3"/>
    <w:rsid w:val="00FC08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51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69A0"/>
    <w:rPr>
      <w:rFonts w:eastAsiaTheme="minorEastAsia"/>
      <w:sz w:val="22"/>
      <w:szCs w:val="22"/>
      <w:lang w:val="en-US" w:eastAsia="zh-CN"/>
    </w:rPr>
  </w:style>
  <w:style w:type="character" w:customStyle="1" w:styleId="NoSpacingChar">
    <w:name w:val="No Spacing Char"/>
    <w:basedOn w:val="DefaultParagraphFont"/>
    <w:link w:val="NoSpacing"/>
    <w:uiPriority w:val="1"/>
    <w:rsid w:val="006269A0"/>
    <w:rPr>
      <w:rFonts w:eastAsiaTheme="minorEastAsia"/>
      <w:sz w:val="22"/>
      <w:szCs w:val="22"/>
      <w:lang w:val="en-US" w:eastAsia="zh-CN"/>
    </w:rPr>
  </w:style>
  <w:style w:type="paragraph" w:styleId="ListParagraph">
    <w:name w:val="List Paragraph"/>
    <w:basedOn w:val="Normal"/>
    <w:uiPriority w:val="34"/>
    <w:qFormat/>
    <w:rsid w:val="006269A0"/>
    <w:pPr>
      <w:ind w:left="720"/>
      <w:contextualSpacing/>
    </w:pPr>
    <w:rPr>
      <w:rFonts w:ascii="Times New Roman" w:hAnsi="Times New Roman" w:cs="Times New Roman"/>
      <w:lang w:eastAsia="en-GB"/>
    </w:rPr>
  </w:style>
  <w:style w:type="paragraph" w:styleId="Header">
    <w:name w:val="header"/>
    <w:basedOn w:val="Normal"/>
    <w:link w:val="HeaderChar"/>
    <w:uiPriority w:val="99"/>
    <w:unhideWhenUsed/>
    <w:rsid w:val="00022568"/>
    <w:pPr>
      <w:tabs>
        <w:tab w:val="center" w:pos="4513"/>
        <w:tab w:val="right" w:pos="9026"/>
      </w:tabs>
    </w:pPr>
  </w:style>
  <w:style w:type="character" w:customStyle="1" w:styleId="HeaderChar">
    <w:name w:val="Header Char"/>
    <w:basedOn w:val="DefaultParagraphFont"/>
    <w:link w:val="Header"/>
    <w:uiPriority w:val="99"/>
    <w:rsid w:val="00022568"/>
  </w:style>
  <w:style w:type="paragraph" w:styleId="Footer">
    <w:name w:val="footer"/>
    <w:basedOn w:val="Normal"/>
    <w:link w:val="FooterChar"/>
    <w:uiPriority w:val="99"/>
    <w:unhideWhenUsed/>
    <w:rsid w:val="00022568"/>
    <w:pPr>
      <w:tabs>
        <w:tab w:val="center" w:pos="4513"/>
        <w:tab w:val="right" w:pos="9026"/>
      </w:tabs>
    </w:pPr>
  </w:style>
  <w:style w:type="character" w:customStyle="1" w:styleId="FooterChar">
    <w:name w:val="Footer Char"/>
    <w:basedOn w:val="DefaultParagraphFont"/>
    <w:link w:val="Footer"/>
    <w:uiPriority w:val="99"/>
    <w:rsid w:val="00022568"/>
  </w:style>
  <w:style w:type="table" w:styleId="TableGrid">
    <w:name w:val="Table Grid"/>
    <w:basedOn w:val="TableNormal"/>
    <w:uiPriority w:val="39"/>
    <w:rsid w:val="0083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9D9"/>
    <w:rPr>
      <w:color w:val="0563C1" w:themeColor="hyperlink"/>
      <w:u w:val="single"/>
    </w:rPr>
  </w:style>
  <w:style w:type="paragraph" w:styleId="NormalWeb">
    <w:name w:val="Normal (Web)"/>
    <w:basedOn w:val="Normal"/>
    <w:uiPriority w:val="99"/>
    <w:unhideWhenUsed/>
    <w:rsid w:val="00621DD2"/>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21DD2"/>
  </w:style>
  <w:style w:type="paragraph" w:styleId="BalloonText">
    <w:name w:val="Balloon Text"/>
    <w:basedOn w:val="Normal"/>
    <w:link w:val="BalloonTextChar"/>
    <w:uiPriority w:val="99"/>
    <w:semiHidden/>
    <w:unhideWhenUsed/>
    <w:rsid w:val="002F6991"/>
    <w:rPr>
      <w:rFonts w:ascii="Tahoma" w:hAnsi="Tahoma" w:cs="Tahoma"/>
      <w:sz w:val="16"/>
      <w:szCs w:val="16"/>
    </w:rPr>
  </w:style>
  <w:style w:type="character" w:customStyle="1" w:styleId="BalloonTextChar">
    <w:name w:val="Balloon Text Char"/>
    <w:basedOn w:val="DefaultParagraphFont"/>
    <w:link w:val="BalloonText"/>
    <w:uiPriority w:val="99"/>
    <w:semiHidden/>
    <w:rsid w:val="002F6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591">
      <w:bodyDiv w:val="1"/>
      <w:marLeft w:val="0"/>
      <w:marRight w:val="0"/>
      <w:marTop w:val="0"/>
      <w:marBottom w:val="0"/>
      <w:divBdr>
        <w:top w:val="none" w:sz="0" w:space="0" w:color="auto"/>
        <w:left w:val="none" w:sz="0" w:space="0" w:color="auto"/>
        <w:bottom w:val="none" w:sz="0" w:space="0" w:color="auto"/>
        <w:right w:val="none" w:sz="0" w:space="0" w:color="auto"/>
      </w:divBdr>
      <w:divsChild>
        <w:div w:id="377779118">
          <w:marLeft w:val="0"/>
          <w:marRight w:val="0"/>
          <w:marTop w:val="0"/>
          <w:marBottom w:val="0"/>
          <w:divBdr>
            <w:top w:val="none" w:sz="0" w:space="0" w:color="auto"/>
            <w:left w:val="none" w:sz="0" w:space="0" w:color="auto"/>
            <w:bottom w:val="none" w:sz="0" w:space="0" w:color="auto"/>
            <w:right w:val="none" w:sz="0" w:space="0" w:color="auto"/>
          </w:divBdr>
          <w:divsChild>
            <w:div w:id="232742362">
              <w:marLeft w:val="0"/>
              <w:marRight w:val="0"/>
              <w:marTop w:val="0"/>
              <w:marBottom w:val="0"/>
              <w:divBdr>
                <w:top w:val="none" w:sz="0" w:space="0" w:color="auto"/>
                <w:left w:val="none" w:sz="0" w:space="0" w:color="auto"/>
                <w:bottom w:val="none" w:sz="0" w:space="0" w:color="auto"/>
                <w:right w:val="none" w:sz="0" w:space="0" w:color="auto"/>
              </w:divBdr>
              <w:divsChild>
                <w:div w:id="1029259375">
                  <w:marLeft w:val="0"/>
                  <w:marRight w:val="0"/>
                  <w:marTop w:val="0"/>
                  <w:marBottom w:val="0"/>
                  <w:divBdr>
                    <w:top w:val="none" w:sz="0" w:space="0" w:color="auto"/>
                    <w:left w:val="none" w:sz="0" w:space="0" w:color="auto"/>
                    <w:bottom w:val="none" w:sz="0" w:space="0" w:color="auto"/>
                    <w:right w:val="none" w:sz="0" w:space="0" w:color="auto"/>
                  </w:divBdr>
                  <w:divsChild>
                    <w:div w:id="866791118">
                      <w:marLeft w:val="0"/>
                      <w:marRight w:val="0"/>
                      <w:marTop w:val="300"/>
                      <w:marBottom w:val="0"/>
                      <w:divBdr>
                        <w:top w:val="none" w:sz="0" w:space="0" w:color="auto"/>
                        <w:left w:val="none" w:sz="0" w:space="0" w:color="auto"/>
                        <w:bottom w:val="none" w:sz="0" w:space="0" w:color="auto"/>
                        <w:right w:val="none" w:sz="0" w:space="0" w:color="auto"/>
                      </w:divBdr>
                    </w:div>
                  </w:divsChild>
                </w:div>
                <w:div w:id="1299610329">
                  <w:marLeft w:val="0"/>
                  <w:marRight w:val="0"/>
                  <w:marTop w:val="0"/>
                  <w:marBottom w:val="0"/>
                  <w:divBdr>
                    <w:top w:val="none" w:sz="0" w:space="0" w:color="auto"/>
                    <w:left w:val="none" w:sz="0" w:space="0" w:color="auto"/>
                    <w:bottom w:val="none" w:sz="0" w:space="0" w:color="auto"/>
                    <w:right w:val="none" w:sz="0" w:space="0" w:color="auto"/>
                  </w:divBdr>
                  <w:divsChild>
                    <w:div w:id="17658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6661">
              <w:marLeft w:val="0"/>
              <w:marRight w:val="0"/>
              <w:marTop w:val="0"/>
              <w:marBottom w:val="0"/>
              <w:divBdr>
                <w:top w:val="none" w:sz="0" w:space="0" w:color="auto"/>
                <w:left w:val="none" w:sz="0" w:space="0" w:color="auto"/>
                <w:bottom w:val="none" w:sz="0" w:space="0" w:color="auto"/>
                <w:right w:val="none" w:sz="0" w:space="0" w:color="auto"/>
              </w:divBdr>
              <w:divsChild>
                <w:div w:id="114642064">
                  <w:marLeft w:val="0"/>
                  <w:marRight w:val="0"/>
                  <w:marTop w:val="0"/>
                  <w:marBottom w:val="0"/>
                  <w:divBdr>
                    <w:top w:val="none" w:sz="0" w:space="0" w:color="auto"/>
                    <w:left w:val="none" w:sz="0" w:space="0" w:color="auto"/>
                    <w:bottom w:val="none" w:sz="0" w:space="0" w:color="auto"/>
                    <w:right w:val="none" w:sz="0" w:space="0" w:color="auto"/>
                  </w:divBdr>
                </w:div>
              </w:divsChild>
            </w:div>
            <w:div w:id="771046506">
              <w:marLeft w:val="0"/>
              <w:marRight w:val="0"/>
              <w:marTop w:val="0"/>
              <w:marBottom w:val="0"/>
              <w:divBdr>
                <w:top w:val="none" w:sz="0" w:space="0" w:color="auto"/>
                <w:left w:val="none" w:sz="0" w:space="0" w:color="auto"/>
                <w:bottom w:val="none" w:sz="0" w:space="0" w:color="auto"/>
                <w:right w:val="none" w:sz="0" w:space="0" w:color="auto"/>
              </w:divBdr>
              <w:divsChild>
                <w:div w:id="648898673">
                  <w:marLeft w:val="0"/>
                  <w:marRight w:val="0"/>
                  <w:marTop w:val="0"/>
                  <w:marBottom w:val="0"/>
                  <w:divBdr>
                    <w:top w:val="none" w:sz="0" w:space="0" w:color="auto"/>
                    <w:left w:val="none" w:sz="0" w:space="0" w:color="auto"/>
                    <w:bottom w:val="none" w:sz="0" w:space="0" w:color="auto"/>
                    <w:right w:val="none" w:sz="0" w:space="0" w:color="auto"/>
                  </w:divBdr>
                  <w:divsChild>
                    <w:div w:id="838926680">
                      <w:marLeft w:val="0"/>
                      <w:marRight w:val="0"/>
                      <w:marTop w:val="0"/>
                      <w:marBottom w:val="0"/>
                      <w:divBdr>
                        <w:top w:val="none" w:sz="0" w:space="0" w:color="auto"/>
                        <w:left w:val="none" w:sz="0" w:space="0" w:color="auto"/>
                        <w:bottom w:val="none" w:sz="0" w:space="0" w:color="auto"/>
                        <w:right w:val="none" w:sz="0" w:space="0" w:color="auto"/>
                      </w:divBdr>
                      <w:divsChild>
                        <w:div w:id="1014653743">
                          <w:marLeft w:val="0"/>
                          <w:marRight w:val="0"/>
                          <w:marTop w:val="0"/>
                          <w:marBottom w:val="900"/>
                          <w:divBdr>
                            <w:top w:val="none" w:sz="0" w:space="0" w:color="auto"/>
                            <w:left w:val="none" w:sz="0" w:space="0" w:color="auto"/>
                            <w:bottom w:val="none" w:sz="0" w:space="0" w:color="auto"/>
                            <w:right w:val="none" w:sz="0" w:space="0" w:color="auto"/>
                          </w:divBdr>
                          <w:divsChild>
                            <w:div w:id="1581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8794">
                      <w:marLeft w:val="0"/>
                      <w:marRight w:val="0"/>
                      <w:marTop w:val="0"/>
                      <w:marBottom w:val="15"/>
                      <w:divBdr>
                        <w:top w:val="none" w:sz="0" w:space="0" w:color="auto"/>
                        <w:left w:val="none" w:sz="0" w:space="0" w:color="auto"/>
                        <w:bottom w:val="none" w:sz="0" w:space="0" w:color="auto"/>
                        <w:right w:val="none" w:sz="0" w:space="0" w:color="auto"/>
                      </w:divBdr>
                      <w:divsChild>
                        <w:div w:id="1253313852">
                          <w:marLeft w:val="0"/>
                          <w:marRight w:val="0"/>
                          <w:marTop w:val="0"/>
                          <w:marBottom w:val="0"/>
                          <w:divBdr>
                            <w:top w:val="none" w:sz="0" w:space="0" w:color="auto"/>
                            <w:left w:val="none" w:sz="0" w:space="0" w:color="auto"/>
                            <w:bottom w:val="none" w:sz="0" w:space="0" w:color="auto"/>
                            <w:right w:val="none" w:sz="0" w:space="0" w:color="auto"/>
                          </w:divBdr>
                          <w:divsChild>
                            <w:div w:id="1312324855">
                              <w:marLeft w:val="0"/>
                              <w:marRight w:val="0"/>
                              <w:marTop w:val="0"/>
                              <w:marBottom w:val="0"/>
                              <w:divBdr>
                                <w:top w:val="none" w:sz="0" w:space="0" w:color="auto"/>
                                <w:left w:val="none" w:sz="0" w:space="0" w:color="auto"/>
                                <w:bottom w:val="none" w:sz="0" w:space="0" w:color="auto"/>
                                <w:right w:val="none" w:sz="0" w:space="0" w:color="auto"/>
                              </w:divBdr>
                              <w:divsChild>
                                <w:div w:id="336661056">
                                  <w:marLeft w:val="0"/>
                                  <w:marRight w:val="0"/>
                                  <w:marTop w:val="0"/>
                                  <w:marBottom w:val="0"/>
                                  <w:divBdr>
                                    <w:top w:val="none" w:sz="0" w:space="0" w:color="auto"/>
                                    <w:left w:val="none" w:sz="0" w:space="0" w:color="auto"/>
                                    <w:bottom w:val="none" w:sz="0" w:space="0" w:color="auto"/>
                                    <w:right w:val="none" w:sz="0" w:space="0" w:color="auto"/>
                                  </w:divBdr>
                                  <w:divsChild>
                                    <w:div w:id="535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7971">
                      <w:marLeft w:val="0"/>
                      <w:marRight w:val="0"/>
                      <w:marTop w:val="0"/>
                      <w:marBottom w:val="15"/>
                      <w:divBdr>
                        <w:top w:val="none" w:sz="0" w:space="0" w:color="auto"/>
                        <w:left w:val="none" w:sz="0" w:space="0" w:color="auto"/>
                        <w:bottom w:val="none" w:sz="0" w:space="0" w:color="auto"/>
                        <w:right w:val="none" w:sz="0" w:space="0" w:color="auto"/>
                      </w:divBdr>
                      <w:divsChild>
                        <w:div w:id="1775323636">
                          <w:marLeft w:val="0"/>
                          <w:marRight w:val="0"/>
                          <w:marTop w:val="0"/>
                          <w:marBottom w:val="0"/>
                          <w:divBdr>
                            <w:top w:val="single" w:sz="2" w:space="0" w:color="000000"/>
                            <w:left w:val="single" w:sz="2" w:space="0" w:color="000000"/>
                            <w:bottom w:val="single" w:sz="2" w:space="0" w:color="000000"/>
                            <w:right w:val="single" w:sz="2" w:space="0" w:color="000000"/>
                          </w:divBdr>
                          <w:divsChild>
                            <w:div w:id="8647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1505">
                  <w:marLeft w:val="15"/>
                  <w:marRight w:val="225"/>
                  <w:marTop w:val="0"/>
                  <w:marBottom w:val="0"/>
                  <w:divBdr>
                    <w:top w:val="none" w:sz="0" w:space="0" w:color="auto"/>
                    <w:left w:val="none" w:sz="0" w:space="0" w:color="auto"/>
                    <w:bottom w:val="none" w:sz="0" w:space="0" w:color="auto"/>
                    <w:right w:val="none" w:sz="0" w:space="0" w:color="auto"/>
                  </w:divBdr>
                  <w:divsChild>
                    <w:div w:id="1430274108">
                      <w:marLeft w:val="0"/>
                      <w:marRight w:val="0"/>
                      <w:marTop w:val="0"/>
                      <w:marBottom w:val="0"/>
                      <w:divBdr>
                        <w:top w:val="none" w:sz="0" w:space="0" w:color="auto"/>
                        <w:left w:val="none" w:sz="0" w:space="0" w:color="auto"/>
                        <w:bottom w:val="none" w:sz="0" w:space="0" w:color="auto"/>
                        <w:right w:val="none" w:sz="0" w:space="0" w:color="auto"/>
                      </w:divBdr>
                    </w:div>
                    <w:div w:id="1531797326">
                      <w:marLeft w:val="0"/>
                      <w:marRight w:val="0"/>
                      <w:marTop w:val="2400"/>
                      <w:marBottom w:val="0"/>
                      <w:divBdr>
                        <w:top w:val="none" w:sz="0" w:space="0" w:color="auto"/>
                        <w:left w:val="none" w:sz="0" w:space="0" w:color="auto"/>
                        <w:bottom w:val="none" w:sz="0" w:space="0" w:color="auto"/>
                        <w:right w:val="none" w:sz="0" w:space="0" w:color="auto"/>
                      </w:divBdr>
                    </w:div>
                  </w:divsChild>
                </w:div>
              </w:divsChild>
            </w:div>
            <w:div w:id="370613087">
              <w:marLeft w:val="0"/>
              <w:marRight w:val="0"/>
              <w:marTop w:val="0"/>
              <w:marBottom w:val="0"/>
              <w:divBdr>
                <w:top w:val="single" w:sz="6" w:space="0" w:color="CDCDCD"/>
                <w:left w:val="none" w:sz="0" w:space="0" w:color="auto"/>
                <w:bottom w:val="none" w:sz="0" w:space="0" w:color="auto"/>
                <w:right w:val="none" w:sz="0" w:space="0" w:color="auto"/>
              </w:divBdr>
            </w:div>
          </w:divsChild>
        </w:div>
      </w:divsChild>
    </w:div>
    <w:div w:id="271977400">
      <w:bodyDiv w:val="1"/>
      <w:marLeft w:val="0"/>
      <w:marRight w:val="0"/>
      <w:marTop w:val="0"/>
      <w:marBottom w:val="0"/>
      <w:divBdr>
        <w:top w:val="none" w:sz="0" w:space="0" w:color="auto"/>
        <w:left w:val="none" w:sz="0" w:space="0" w:color="auto"/>
        <w:bottom w:val="none" w:sz="0" w:space="0" w:color="auto"/>
        <w:right w:val="none" w:sz="0" w:space="0" w:color="auto"/>
      </w:divBdr>
      <w:divsChild>
        <w:div w:id="97919689">
          <w:marLeft w:val="0"/>
          <w:marRight w:val="0"/>
          <w:marTop w:val="0"/>
          <w:marBottom w:val="0"/>
          <w:divBdr>
            <w:top w:val="none" w:sz="0" w:space="0" w:color="auto"/>
            <w:left w:val="none" w:sz="0" w:space="0" w:color="auto"/>
            <w:bottom w:val="none" w:sz="0" w:space="0" w:color="auto"/>
            <w:right w:val="none" w:sz="0" w:space="0" w:color="auto"/>
          </w:divBdr>
          <w:divsChild>
            <w:div w:id="1631127556">
              <w:marLeft w:val="0"/>
              <w:marRight w:val="0"/>
              <w:marTop w:val="0"/>
              <w:marBottom w:val="0"/>
              <w:divBdr>
                <w:top w:val="none" w:sz="0" w:space="0" w:color="auto"/>
                <w:left w:val="none" w:sz="0" w:space="0" w:color="auto"/>
                <w:bottom w:val="none" w:sz="0" w:space="0" w:color="auto"/>
                <w:right w:val="none" w:sz="0" w:space="0" w:color="auto"/>
              </w:divBdr>
              <w:divsChild>
                <w:div w:id="119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1906">
      <w:bodyDiv w:val="1"/>
      <w:marLeft w:val="0"/>
      <w:marRight w:val="0"/>
      <w:marTop w:val="0"/>
      <w:marBottom w:val="0"/>
      <w:divBdr>
        <w:top w:val="none" w:sz="0" w:space="0" w:color="auto"/>
        <w:left w:val="none" w:sz="0" w:space="0" w:color="auto"/>
        <w:bottom w:val="none" w:sz="0" w:space="0" w:color="auto"/>
        <w:right w:val="none" w:sz="0" w:space="0" w:color="auto"/>
      </w:divBdr>
    </w:div>
    <w:div w:id="582183923">
      <w:bodyDiv w:val="1"/>
      <w:marLeft w:val="0"/>
      <w:marRight w:val="0"/>
      <w:marTop w:val="0"/>
      <w:marBottom w:val="0"/>
      <w:divBdr>
        <w:top w:val="none" w:sz="0" w:space="0" w:color="auto"/>
        <w:left w:val="none" w:sz="0" w:space="0" w:color="auto"/>
        <w:bottom w:val="none" w:sz="0" w:space="0" w:color="auto"/>
        <w:right w:val="none" w:sz="0" w:space="0" w:color="auto"/>
      </w:divBdr>
    </w:div>
    <w:div w:id="978270148">
      <w:bodyDiv w:val="1"/>
      <w:marLeft w:val="0"/>
      <w:marRight w:val="0"/>
      <w:marTop w:val="0"/>
      <w:marBottom w:val="0"/>
      <w:divBdr>
        <w:top w:val="none" w:sz="0" w:space="0" w:color="auto"/>
        <w:left w:val="none" w:sz="0" w:space="0" w:color="auto"/>
        <w:bottom w:val="none" w:sz="0" w:space="0" w:color="auto"/>
        <w:right w:val="none" w:sz="0" w:space="0" w:color="auto"/>
      </w:divBdr>
      <w:divsChild>
        <w:div w:id="2090929745">
          <w:marLeft w:val="0"/>
          <w:marRight w:val="0"/>
          <w:marTop w:val="0"/>
          <w:marBottom w:val="0"/>
          <w:divBdr>
            <w:top w:val="none" w:sz="0" w:space="0" w:color="auto"/>
            <w:left w:val="none" w:sz="0" w:space="0" w:color="auto"/>
            <w:bottom w:val="none" w:sz="0" w:space="0" w:color="auto"/>
            <w:right w:val="none" w:sz="0" w:space="0" w:color="auto"/>
          </w:divBdr>
          <w:divsChild>
            <w:div w:id="924847665">
              <w:marLeft w:val="0"/>
              <w:marRight w:val="0"/>
              <w:marTop w:val="0"/>
              <w:marBottom w:val="0"/>
              <w:divBdr>
                <w:top w:val="none" w:sz="0" w:space="0" w:color="auto"/>
                <w:left w:val="none" w:sz="0" w:space="0" w:color="auto"/>
                <w:bottom w:val="none" w:sz="0" w:space="0" w:color="auto"/>
                <w:right w:val="none" w:sz="0" w:space="0" w:color="auto"/>
              </w:divBdr>
              <w:divsChild>
                <w:div w:id="13603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535">
      <w:bodyDiv w:val="1"/>
      <w:marLeft w:val="0"/>
      <w:marRight w:val="0"/>
      <w:marTop w:val="0"/>
      <w:marBottom w:val="0"/>
      <w:divBdr>
        <w:top w:val="none" w:sz="0" w:space="0" w:color="auto"/>
        <w:left w:val="none" w:sz="0" w:space="0" w:color="auto"/>
        <w:bottom w:val="none" w:sz="0" w:space="0" w:color="auto"/>
        <w:right w:val="none" w:sz="0" w:space="0" w:color="auto"/>
      </w:divBdr>
    </w:div>
    <w:div w:id="1074858244">
      <w:bodyDiv w:val="1"/>
      <w:marLeft w:val="0"/>
      <w:marRight w:val="0"/>
      <w:marTop w:val="0"/>
      <w:marBottom w:val="0"/>
      <w:divBdr>
        <w:top w:val="none" w:sz="0" w:space="0" w:color="auto"/>
        <w:left w:val="none" w:sz="0" w:space="0" w:color="auto"/>
        <w:bottom w:val="none" w:sz="0" w:space="0" w:color="auto"/>
        <w:right w:val="none" w:sz="0" w:space="0" w:color="auto"/>
      </w:divBdr>
    </w:div>
    <w:div w:id="1274943367">
      <w:bodyDiv w:val="1"/>
      <w:marLeft w:val="0"/>
      <w:marRight w:val="0"/>
      <w:marTop w:val="0"/>
      <w:marBottom w:val="0"/>
      <w:divBdr>
        <w:top w:val="none" w:sz="0" w:space="0" w:color="auto"/>
        <w:left w:val="none" w:sz="0" w:space="0" w:color="auto"/>
        <w:bottom w:val="none" w:sz="0" w:space="0" w:color="auto"/>
        <w:right w:val="none" w:sz="0" w:space="0" w:color="auto"/>
      </w:divBdr>
      <w:divsChild>
        <w:div w:id="1105030734">
          <w:marLeft w:val="0"/>
          <w:marRight w:val="0"/>
          <w:marTop w:val="0"/>
          <w:marBottom w:val="0"/>
          <w:divBdr>
            <w:top w:val="none" w:sz="0" w:space="0" w:color="auto"/>
            <w:left w:val="none" w:sz="0" w:space="0" w:color="auto"/>
            <w:bottom w:val="none" w:sz="0" w:space="0" w:color="auto"/>
            <w:right w:val="none" w:sz="0" w:space="0" w:color="auto"/>
          </w:divBdr>
          <w:divsChild>
            <w:div w:id="1637830029">
              <w:marLeft w:val="0"/>
              <w:marRight w:val="0"/>
              <w:marTop w:val="0"/>
              <w:marBottom w:val="0"/>
              <w:divBdr>
                <w:top w:val="none" w:sz="0" w:space="0" w:color="auto"/>
                <w:left w:val="none" w:sz="0" w:space="0" w:color="auto"/>
                <w:bottom w:val="none" w:sz="0" w:space="0" w:color="auto"/>
                <w:right w:val="none" w:sz="0" w:space="0" w:color="auto"/>
              </w:divBdr>
              <w:divsChild>
                <w:div w:id="1028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5154">
      <w:bodyDiv w:val="1"/>
      <w:marLeft w:val="0"/>
      <w:marRight w:val="0"/>
      <w:marTop w:val="0"/>
      <w:marBottom w:val="0"/>
      <w:divBdr>
        <w:top w:val="none" w:sz="0" w:space="0" w:color="auto"/>
        <w:left w:val="none" w:sz="0" w:space="0" w:color="auto"/>
        <w:bottom w:val="none" w:sz="0" w:space="0" w:color="auto"/>
        <w:right w:val="none" w:sz="0" w:space="0" w:color="auto"/>
      </w:divBdr>
      <w:divsChild>
        <w:div w:id="1803884961">
          <w:marLeft w:val="0"/>
          <w:marRight w:val="0"/>
          <w:marTop w:val="0"/>
          <w:marBottom w:val="0"/>
          <w:divBdr>
            <w:top w:val="none" w:sz="0" w:space="0" w:color="auto"/>
            <w:left w:val="none" w:sz="0" w:space="0" w:color="auto"/>
            <w:bottom w:val="none" w:sz="0" w:space="0" w:color="auto"/>
            <w:right w:val="none" w:sz="0" w:space="0" w:color="auto"/>
          </w:divBdr>
          <w:divsChild>
            <w:div w:id="1017462978">
              <w:marLeft w:val="0"/>
              <w:marRight w:val="0"/>
              <w:marTop w:val="0"/>
              <w:marBottom w:val="0"/>
              <w:divBdr>
                <w:top w:val="none" w:sz="0" w:space="0" w:color="auto"/>
                <w:left w:val="none" w:sz="0" w:space="0" w:color="auto"/>
                <w:bottom w:val="none" w:sz="0" w:space="0" w:color="auto"/>
                <w:right w:val="none" w:sz="0" w:space="0" w:color="auto"/>
              </w:divBdr>
              <w:divsChild>
                <w:div w:id="14650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8484">
      <w:bodyDiv w:val="1"/>
      <w:marLeft w:val="0"/>
      <w:marRight w:val="0"/>
      <w:marTop w:val="0"/>
      <w:marBottom w:val="0"/>
      <w:divBdr>
        <w:top w:val="none" w:sz="0" w:space="0" w:color="auto"/>
        <w:left w:val="none" w:sz="0" w:space="0" w:color="auto"/>
        <w:bottom w:val="none" w:sz="0" w:space="0" w:color="auto"/>
        <w:right w:val="none" w:sz="0" w:space="0" w:color="auto"/>
      </w:divBdr>
    </w:div>
    <w:div w:id="1520853732">
      <w:bodyDiv w:val="1"/>
      <w:marLeft w:val="0"/>
      <w:marRight w:val="0"/>
      <w:marTop w:val="0"/>
      <w:marBottom w:val="0"/>
      <w:divBdr>
        <w:top w:val="none" w:sz="0" w:space="0" w:color="auto"/>
        <w:left w:val="none" w:sz="0" w:space="0" w:color="auto"/>
        <w:bottom w:val="none" w:sz="0" w:space="0" w:color="auto"/>
        <w:right w:val="none" w:sz="0" w:space="0" w:color="auto"/>
      </w:divBdr>
    </w:div>
    <w:div w:id="1707870825">
      <w:bodyDiv w:val="1"/>
      <w:marLeft w:val="0"/>
      <w:marRight w:val="0"/>
      <w:marTop w:val="0"/>
      <w:marBottom w:val="0"/>
      <w:divBdr>
        <w:top w:val="none" w:sz="0" w:space="0" w:color="auto"/>
        <w:left w:val="none" w:sz="0" w:space="0" w:color="auto"/>
        <w:bottom w:val="none" w:sz="0" w:space="0" w:color="auto"/>
        <w:right w:val="none" w:sz="0" w:space="0" w:color="auto"/>
      </w:divBdr>
      <w:divsChild>
        <w:div w:id="1231381457">
          <w:marLeft w:val="0"/>
          <w:marRight w:val="0"/>
          <w:marTop w:val="0"/>
          <w:marBottom w:val="0"/>
          <w:divBdr>
            <w:top w:val="none" w:sz="0" w:space="0" w:color="auto"/>
            <w:left w:val="none" w:sz="0" w:space="0" w:color="auto"/>
            <w:bottom w:val="none" w:sz="0" w:space="0" w:color="auto"/>
            <w:right w:val="none" w:sz="0" w:space="0" w:color="auto"/>
          </w:divBdr>
          <w:divsChild>
            <w:div w:id="1967810562">
              <w:marLeft w:val="0"/>
              <w:marRight w:val="0"/>
              <w:marTop w:val="0"/>
              <w:marBottom w:val="0"/>
              <w:divBdr>
                <w:top w:val="none" w:sz="0" w:space="0" w:color="auto"/>
                <w:left w:val="none" w:sz="0" w:space="0" w:color="auto"/>
                <w:bottom w:val="none" w:sz="0" w:space="0" w:color="auto"/>
                <w:right w:val="none" w:sz="0" w:space="0" w:color="auto"/>
              </w:divBdr>
              <w:divsChild>
                <w:div w:id="1204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3541">
      <w:bodyDiv w:val="1"/>
      <w:marLeft w:val="0"/>
      <w:marRight w:val="0"/>
      <w:marTop w:val="0"/>
      <w:marBottom w:val="0"/>
      <w:divBdr>
        <w:top w:val="none" w:sz="0" w:space="0" w:color="auto"/>
        <w:left w:val="none" w:sz="0" w:space="0" w:color="auto"/>
        <w:bottom w:val="none" w:sz="0" w:space="0" w:color="auto"/>
        <w:right w:val="none" w:sz="0" w:space="0" w:color="auto"/>
      </w:divBdr>
    </w:div>
    <w:div w:id="1905144600">
      <w:bodyDiv w:val="1"/>
      <w:marLeft w:val="0"/>
      <w:marRight w:val="0"/>
      <w:marTop w:val="0"/>
      <w:marBottom w:val="0"/>
      <w:divBdr>
        <w:top w:val="none" w:sz="0" w:space="0" w:color="auto"/>
        <w:left w:val="none" w:sz="0" w:space="0" w:color="auto"/>
        <w:bottom w:val="none" w:sz="0" w:space="0" w:color="auto"/>
        <w:right w:val="none" w:sz="0" w:space="0" w:color="auto"/>
      </w:divBdr>
    </w:div>
    <w:div w:id="2145539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bloomberg.com/quote/GIND10YR:IND" TargetMode="External"/><Relationship Id="rId10" Type="http://schemas.openxmlformats.org/officeDocument/2006/relationships/hyperlink" Target="https://in.reuters.com/article/markets-india-gilts-table/table-thomson-reuters-reference-rates-for-india-gilts-idINL3N1O73T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l@consultactuar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ACTUARIAL VALUATION</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ACTUARIAL VALUATION</dc:title>
  <dc:subject>DISCOUNT RATE ASSUMPTIONS</dc:subject>
  <dc:creator>as on 31st DECEMBER 2017</dc:creator>
  <cp:lastModifiedBy>Microsoft Office User</cp:lastModifiedBy>
  <cp:revision>2</cp:revision>
  <cp:lastPrinted>2017-04-22T11:59:00Z</cp:lastPrinted>
  <dcterms:created xsi:type="dcterms:W3CDTF">2017-12-10T09:51:00Z</dcterms:created>
  <dcterms:modified xsi:type="dcterms:W3CDTF">2017-12-10T09:51:00Z</dcterms:modified>
</cp:coreProperties>
</file>